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2A" w:rsidRPr="0059762A" w:rsidRDefault="0059762A" w:rsidP="00785CE0">
      <w:pPr>
        <w:jc w:val="both"/>
        <w:rPr>
          <w:b/>
          <w:sz w:val="28"/>
          <w:szCs w:val="28"/>
        </w:rPr>
      </w:pPr>
      <w:bookmarkStart w:id="0" w:name="_GoBack"/>
      <w:bookmarkEnd w:id="0"/>
      <w:r w:rsidRPr="0059762A">
        <w:rPr>
          <w:b/>
          <w:sz w:val="28"/>
          <w:szCs w:val="28"/>
        </w:rPr>
        <w:t xml:space="preserve">Osservatorio nazionale per l’integrazione degli alunni stranieri  e per </w:t>
      </w:r>
      <w:proofErr w:type="spellStart"/>
      <w:r w:rsidRPr="0059762A">
        <w:rPr>
          <w:b/>
          <w:sz w:val="28"/>
          <w:szCs w:val="28"/>
        </w:rPr>
        <w:t>l’intercultura</w:t>
      </w:r>
      <w:proofErr w:type="spellEnd"/>
    </w:p>
    <w:p w:rsidR="001F4127" w:rsidRPr="0059762A" w:rsidRDefault="00374E68" w:rsidP="00785CE0">
      <w:pPr>
        <w:jc w:val="both"/>
        <w:rPr>
          <w:b/>
          <w:sz w:val="24"/>
          <w:szCs w:val="24"/>
        </w:rPr>
      </w:pPr>
      <w:r w:rsidRPr="0059762A">
        <w:rPr>
          <w:b/>
          <w:sz w:val="24"/>
          <w:szCs w:val="24"/>
        </w:rPr>
        <w:t>F</w:t>
      </w:r>
      <w:r w:rsidR="00ED5C50" w:rsidRPr="0059762A">
        <w:rPr>
          <w:b/>
          <w:sz w:val="24"/>
          <w:szCs w:val="24"/>
        </w:rPr>
        <w:t>ormazione de</w:t>
      </w:r>
      <w:r w:rsidRPr="0059762A">
        <w:rPr>
          <w:b/>
          <w:sz w:val="24"/>
          <w:szCs w:val="24"/>
        </w:rPr>
        <w:t>l personale scolastico e istruzione degli adulti – Materiale di lavoro dell’Osservatorio</w:t>
      </w:r>
      <w:r w:rsidRPr="0059762A">
        <w:rPr>
          <w:rStyle w:val="Rimandonotaapidipagina"/>
          <w:b/>
          <w:sz w:val="24"/>
          <w:szCs w:val="24"/>
        </w:rPr>
        <w:footnoteReference w:id="1"/>
      </w:r>
    </w:p>
    <w:p w:rsidR="00247D61" w:rsidRDefault="0019733F" w:rsidP="00785CE0">
      <w:pPr>
        <w:jc w:val="both"/>
        <w:rPr>
          <w:sz w:val="28"/>
          <w:szCs w:val="28"/>
        </w:rPr>
      </w:pPr>
      <w:r>
        <w:rPr>
          <w:sz w:val="28"/>
          <w:szCs w:val="28"/>
        </w:rPr>
        <w:t>La qualità e i risultati dell’integrazione scolastica degli studenti con background straniero</w:t>
      </w:r>
      <w:r w:rsidR="00247D61">
        <w:rPr>
          <w:sz w:val="28"/>
          <w:szCs w:val="28"/>
        </w:rPr>
        <w:t xml:space="preserve"> dipendono in larga misura</w:t>
      </w:r>
      <w:r>
        <w:rPr>
          <w:sz w:val="28"/>
          <w:szCs w:val="28"/>
        </w:rPr>
        <w:t xml:space="preserve"> dalle competenze professionali degli insegnanti e dei dirigenti delle scuole multiculturali.</w:t>
      </w:r>
      <w:r w:rsidR="00696E15">
        <w:rPr>
          <w:sz w:val="28"/>
          <w:szCs w:val="28"/>
        </w:rPr>
        <w:t xml:space="preserve"> </w:t>
      </w:r>
      <w:r w:rsidR="006150C0">
        <w:rPr>
          <w:sz w:val="28"/>
          <w:szCs w:val="28"/>
        </w:rPr>
        <w:t>V</w:t>
      </w:r>
      <w:r w:rsidR="00785CE0">
        <w:rPr>
          <w:sz w:val="28"/>
          <w:szCs w:val="28"/>
        </w:rPr>
        <w:t>ent’</w:t>
      </w:r>
      <w:r w:rsidR="004B1092">
        <w:rPr>
          <w:sz w:val="28"/>
          <w:szCs w:val="28"/>
        </w:rPr>
        <w:t>anni e più di sperimentazioni didattiche e organizzative, di r</w:t>
      </w:r>
      <w:r w:rsidR="006150C0">
        <w:rPr>
          <w:sz w:val="28"/>
          <w:szCs w:val="28"/>
        </w:rPr>
        <w:t>iflessioni</w:t>
      </w:r>
      <w:r w:rsidR="00944655">
        <w:rPr>
          <w:sz w:val="28"/>
          <w:szCs w:val="28"/>
        </w:rPr>
        <w:t xml:space="preserve"> </w:t>
      </w:r>
      <w:r w:rsidR="00301252">
        <w:rPr>
          <w:sz w:val="28"/>
          <w:szCs w:val="28"/>
        </w:rPr>
        <w:t xml:space="preserve"> </w:t>
      </w:r>
      <w:r w:rsidR="00944655">
        <w:rPr>
          <w:sz w:val="28"/>
          <w:szCs w:val="28"/>
        </w:rPr>
        <w:t>sulle azioni realizzate e sui loro risultati,</w:t>
      </w:r>
      <w:r w:rsidR="00F042CA">
        <w:rPr>
          <w:sz w:val="28"/>
          <w:szCs w:val="28"/>
        </w:rPr>
        <w:t xml:space="preserve"> di </w:t>
      </w:r>
      <w:r w:rsidR="0052306B">
        <w:rPr>
          <w:sz w:val="28"/>
          <w:szCs w:val="28"/>
        </w:rPr>
        <w:t xml:space="preserve">ricerca e di </w:t>
      </w:r>
      <w:r w:rsidR="004B1092">
        <w:rPr>
          <w:sz w:val="28"/>
          <w:szCs w:val="28"/>
        </w:rPr>
        <w:t xml:space="preserve">autoformazione </w:t>
      </w:r>
      <w:r w:rsidR="00DE53E2">
        <w:rPr>
          <w:sz w:val="28"/>
          <w:szCs w:val="28"/>
        </w:rPr>
        <w:t>individuali e collettive</w:t>
      </w:r>
      <w:r w:rsidR="00F042CA">
        <w:rPr>
          <w:sz w:val="28"/>
          <w:szCs w:val="28"/>
        </w:rPr>
        <w:t xml:space="preserve"> </w:t>
      </w:r>
      <w:r w:rsidR="004B1092">
        <w:rPr>
          <w:sz w:val="28"/>
          <w:szCs w:val="28"/>
        </w:rPr>
        <w:t>hanno s</w:t>
      </w:r>
      <w:r w:rsidR="00F042CA">
        <w:rPr>
          <w:sz w:val="28"/>
          <w:szCs w:val="28"/>
        </w:rPr>
        <w:t xml:space="preserve">viluppato </w:t>
      </w:r>
      <w:r w:rsidR="004B1092">
        <w:rPr>
          <w:sz w:val="28"/>
          <w:szCs w:val="28"/>
        </w:rPr>
        <w:t xml:space="preserve"> un patrimoni</w:t>
      </w:r>
      <w:r w:rsidR="006150C0">
        <w:rPr>
          <w:sz w:val="28"/>
          <w:szCs w:val="28"/>
        </w:rPr>
        <w:t xml:space="preserve">o professionale e </w:t>
      </w:r>
      <w:r w:rsidR="004B1092">
        <w:rPr>
          <w:sz w:val="28"/>
          <w:szCs w:val="28"/>
        </w:rPr>
        <w:t>di buone pratiche c</w:t>
      </w:r>
      <w:r w:rsidR="00F042CA">
        <w:rPr>
          <w:sz w:val="28"/>
          <w:szCs w:val="28"/>
        </w:rPr>
        <w:t xml:space="preserve">he </w:t>
      </w:r>
      <w:r w:rsidR="00944655">
        <w:rPr>
          <w:sz w:val="28"/>
          <w:szCs w:val="28"/>
        </w:rPr>
        <w:t>occor</w:t>
      </w:r>
      <w:r w:rsidR="00247D61">
        <w:rPr>
          <w:sz w:val="28"/>
          <w:szCs w:val="28"/>
        </w:rPr>
        <w:t>re uti</w:t>
      </w:r>
      <w:r w:rsidR="00A518AA">
        <w:rPr>
          <w:sz w:val="28"/>
          <w:szCs w:val="28"/>
        </w:rPr>
        <w:t xml:space="preserve">lizzare per far diventare il </w:t>
      </w:r>
      <w:r w:rsidR="00247D61">
        <w:rPr>
          <w:sz w:val="28"/>
          <w:szCs w:val="28"/>
        </w:rPr>
        <w:t xml:space="preserve"> sistema scolastico </w:t>
      </w:r>
      <w:r w:rsidR="00A518AA">
        <w:rPr>
          <w:sz w:val="28"/>
          <w:szCs w:val="28"/>
        </w:rPr>
        <w:t xml:space="preserve"> </w:t>
      </w:r>
      <w:r w:rsidR="00F042CA">
        <w:rPr>
          <w:sz w:val="28"/>
          <w:szCs w:val="28"/>
        </w:rPr>
        <w:t xml:space="preserve">un “sistema esperto” nell’integrazione scolastica degli studenti stranieri e nell’educazione </w:t>
      </w:r>
      <w:r w:rsidR="003810E4">
        <w:rPr>
          <w:sz w:val="28"/>
          <w:szCs w:val="28"/>
        </w:rPr>
        <w:t xml:space="preserve">all’interculturalità. </w:t>
      </w:r>
      <w:r w:rsidR="00677721">
        <w:rPr>
          <w:sz w:val="28"/>
          <w:szCs w:val="28"/>
        </w:rPr>
        <w:t>La conoscenza delle diverse problematiche connesse alla partecipazio</w:t>
      </w:r>
      <w:r w:rsidR="00DE53E2">
        <w:rPr>
          <w:sz w:val="28"/>
          <w:szCs w:val="28"/>
        </w:rPr>
        <w:t>ne scolastica di un numero consistente e in</w:t>
      </w:r>
      <w:r w:rsidR="00677721">
        <w:rPr>
          <w:sz w:val="28"/>
          <w:szCs w:val="28"/>
        </w:rPr>
        <w:t xml:space="preserve"> crescita di studenti stranieri e  una preparazione </w:t>
      </w:r>
      <w:r w:rsidR="00A518AA">
        <w:rPr>
          <w:sz w:val="28"/>
          <w:szCs w:val="28"/>
        </w:rPr>
        <w:t xml:space="preserve"> professionale </w:t>
      </w:r>
      <w:r w:rsidR="00677721">
        <w:rPr>
          <w:sz w:val="28"/>
          <w:szCs w:val="28"/>
        </w:rPr>
        <w:t xml:space="preserve">specifica </w:t>
      </w:r>
      <w:r w:rsidR="00A518AA">
        <w:rPr>
          <w:sz w:val="28"/>
          <w:szCs w:val="28"/>
        </w:rPr>
        <w:t>degli insegnanti e dei dirigenti scolastici si realizza</w:t>
      </w:r>
      <w:r w:rsidR="00DE53E2">
        <w:rPr>
          <w:sz w:val="28"/>
          <w:szCs w:val="28"/>
        </w:rPr>
        <w:t>no</w:t>
      </w:r>
      <w:r w:rsidR="00A518AA">
        <w:rPr>
          <w:sz w:val="28"/>
          <w:szCs w:val="28"/>
        </w:rPr>
        <w:t xml:space="preserve"> principalmente attraverso </w:t>
      </w:r>
      <w:r w:rsidR="00247D61">
        <w:rPr>
          <w:sz w:val="28"/>
          <w:szCs w:val="28"/>
        </w:rPr>
        <w:t xml:space="preserve"> una</w:t>
      </w:r>
      <w:r w:rsidR="00143650">
        <w:rPr>
          <w:sz w:val="28"/>
          <w:szCs w:val="28"/>
        </w:rPr>
        <w:t xml:space="preserve"> formazione </w:t>
      </w:r>
      <w:r w:rsidR="00A518AA">
        <w:rPr>
          <w:sz w:val="28"/>
          <w:szCs w:val="28"/>
        </w:rPr>
        <w:t>capillare e non sporadica</w:t>
      </w:r>
      <w:r w:rsidR="00677721">
        <w:rPr>
          <w:sz w:val="28"/>
          <w:szCs w:val="28"/>
        </w:rPr>
        <w:t xml:space="preserve"> – iniziale, in ingresso, ricorrente - </w:t>
      </w:r>
      <w:r w:rsidR="0052306B">
        <w:rPr>
          <w:sz w:val="28"/>
          <w:szCs w:val="28"/>
        </w:rPr>
        <w:t>supportata da univ</w:t>
      </w:r>
      <w:r w:rsidR="00677721">
        <w:rPr>
          <w:sz w:val="28"/>
          <w:szCs w:val="28"/>
        </w:rPr>
        <w:t xml:space="preserve">ersità e centri di ricerca ma </w:t>
      </w:r>
      <w:r w:rsidR="0052306B">
        <w:rPr>
          <w:sz w:val="28"/>
          <w:szCs w:val="28"/>
        </w:rPr>
        <w:t>di tipo non esclusivamente accademico.</w:t>
      </w:r>
      <w:r w:rsidR="006150C0">
        <w:rPr>
          <w:sz w:val="28"/>
          <w:szCs w:val="28"/>
        </w:rPr>
        <w:t xml:space="preserve"> </w:t>
      </w:r>
      <w:r w:rsidR="00677721">
        <w:rPr>
          <w:sz w:val="28"/>
          <w:szCs w:val="28"/>
        </w:rPr>
        <w:t>In questo come in altri campi</w:t>
      </w:r>
      <w:r w:rsidR="00985550">
        <w:rPr>
          <w:sz w:val="28"/>
          <w:szCs w:val="28"/>
        </w:rPr>
        <w:t>,</w:t>
      </w:r>
      <w:r w:rsidR="00677721">
        <w:rPr>
          <w:sz w:val="28"/>
          <w:szCs w:val="28"/>
        </w:rPr>
        <w:t xml:space="preserve"> è</w:t>
      </w:r>
      <w:r w:rsidR="0052306B">
        <w:rPr>
          <w:sz w:val="28"/>
          <w:szCs w:val="28"/>
        </w:rPr>
        <w:t xml:space="preserve"> </w:t>
      </w:r>
      <w:r w:rsidR="00DE53E2">
        <w:rPr>
          <w:sz w:val="28"/>
          <w:szCs w:val="28"/>
        </w:rPr>
        <w:t xml:space="preserve">importante </w:t>
      </w:r>
      <w:r w:rsidR="00A518AA">
        <w:rPr>
          <w:sz w:val="28"/>
          <w:szCs w:val="28"/>
        </w:rPr>
        <w:t xml:space="preserve"> </w:t>
      </w:r>
      <w:r w:rsidR="0052306B">
        <w:rPr>
          <w:sz w:val="28"/>
          <w:szCs w:val="28"/>
        </w:rPr>
        <w:t>che la formazione professionale d</w:t>
      </w:r>
      <w:r w:rsidR="00E92D8B">
        <w:rPr>
          <w:sz w:val="28"/>
          <w:szCs w:val="28"/>
        </w:rPr>
        <w:t xml:space="preserve">i chi opera nella scuola si avvalga </w:t>
      </w:r>
      <w:r w:rsidR="0052306B">
        <w:rPr>
          <w:sz w:val="28"/>
          <w:szCs w:val="28"/>
        </w:rPr>
        <w:t xml:space="preserve"> </w:t>
      </w:r>
      <w:r w:rsidR="00677721">
        <w:rPr>
          <w:sz w:val="28"/>
          <w:szCs w:val="28"/>
        </w:rPr>
        <w:t xml:space="preserve">anche </w:t>
      </w:r>
      <w:r w:rsidR="0052306B">
        <w:rPr>
          <w:sz w:val="28"/>
          <w:szCs w:val="28"/>
        </w:rPr>
        <w:t xml:space="preserve">delle conoscenze e delle competenze che maturano nel vivo dell’esperienza educativa e didattica. </w:t>
      </w:r>
    </w:p>
    <w:p w:rsidR="00247D61" w:rsidRDefault="00247D61" w:rsidP="00785CE0">
      <w:pPr>
        <w:jc w:val="both"/>
        <w:rPr>
          <w:sz w:val="28"/>
          <w:szCs w:val="28"/>
        </w:rPr>
      </w:pPr>
      <w:r w:rsidRPr="00247D61">
        <w:rPr>
          <w:b/>
          <w:sz w:val="28"/>
          <w:szCs w:val="28"/>
        </w:rPr>
        <w:t xml:space="preserve">La formazione degli insegnanti </w:t>
      </w:r>
    </w:p>
    <w:p w:rsidR="00997084" w:rsidRDefault="000324C1" w:rsidP="00785CE0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E672DA">
        <w:rPr>
          <w:sz w:val="28"/>
          <w:szCs w:val="28"/>
        </w:rPr>
        <w:t xml:space="preserve">a formazione degli insegnanti </w:t>
      </w:r>
      <w:r w:rsidR="00DA4988">
        <w:rPr>
          <w:sz w:val="28"/>
          <w:szCs w:val="28"/>
        </w:rPr>
        <w:t xml:space="preserve"> </w:t>
      </w:r>
      <w:r w:rsidR="00240FE7">
        <w:rPr>
          <w:sz w:val="28"/>
          <w:szCs w:val="28"/>
        </w:rPr>
        <w:t xml:space="preserve"> risponde a strategie educative di natura </w:t>
      </w:r>
      <w:r w:rsidR="00FD3758">
        <w:rPr>
          <w:sz w:val="28"/>
          <w:szCs w:val="28"/>
        </w:rPr>
        <w:t xml:space="preserve">non </w:t>
      </w:r>
      <w:r w:rsidR="00240FE7">
        <w:rPr>
          <w:sz w:val="28"/>
          <w:szCs w:val="28"/>
        </w:rPr>
        <w:t xml:space="preserve">unicamente  compensativa, </w:t>
      </w:r>
      <w:r w:rsidR="00DA4988">
        <w:rPr>
          <w:sz w:val="28"/>
          <w:szCs w:val="28"/>
        </w:rPr>
        <w:t>non riguarda s</w:t>
      </w:r>
      <w:r w:rsidR="00240FE7">
        <w:rPr>
          <w:sz w:val="28"/>
          <w:szCs w:val="28"/>
        </w:rPr>
        <w:t>olo gli insegnanti di italiano,</w:t>
      </w:r>
      <w:r w:rsidR="00DA4988">
        <w:rPr>
          <w:sz w:val="28"/>
          <w:szCs w:val="28"/>
        </w:rPr>
        <w:t xml:space="preserve"> non è di ti</w:t>
      </w:r>
      <w:r w:rsidR="00240FE7">
        <w:rPr>
          <w:sz w:val="28"/>
          <w:szCs w:val="28"/>
        </w:rPr>
        <w:t xml:space="preserve">po esclusivamente specialistico. </w:t>
      </w:r>
      <w:r w:rsidR="000B27EF">
        <w:rPr>
          <w:sz w:val="28"/>
          <w:szCs w:val="28"/>
        </w:rPr>
        <w:t>Essa guarda anche ai temi dell’educazione all’interculturalità e alla cittadinanza</w:t>
      </w:r>
      <w:r w:rsidR="00265A34">
        <w:rPr>
          <w:sz w:val="28"/>
          <w:szCs w:val="28"/>
        </w:rPr>
        <w:t xml:space="preserve">, supporta </w:t>
      </w:r>
      <w:r w:rsidR="00FD3758">
        <w:rPr>
          <w:sz w:val="28"/>
          <w:szCs w:val="28"/>
        </w:rPr>
        <w:t xml:space="preserve">la ricchezza e l’ </w:t>
      </w:r>
      <w:r w:rsidR="00265A34">
        <w:rPr>
          <w:sz w:val="28"/>
          <w:szCs w:val="28"/>
        </w:rPr>
        <w:t>efficaci</w:t>
      </w:r>
      <w:r w:rsidR="00FD3758">
        <w:rPr>
          <w:sz w:val="28"/>
          <w:szCs w:val="28"/>
        </w:rPr>
        <w:t>a delle</w:t>
      </w:r>
      <w:r w:rsidR="000B27EF">
        <w:rPr>
          <w:sz w:val="28"/>
          <w:szCs w:val="28"/>
        </w:rPr>
        <w:t xml:space="preserve"> relazioni tra scuola e famiglie straniere, sviluppa la sensibilità e la consapevolezza professionale in ordine all’ accoglienza</w:t>
      </w:r>
      <w:r w:rsidR="003C09C6">
        <w:rPr>
          <w:sz w:val="28"/>
          <w:szCs w:val="28"/>
        </w:rPr>
        <w:t>,</w:t>
      </w:r>
      <w:r w:rsidR="0059762A">
        <w:rPr>
          <w:sz w:val="28"/>
          <w:szCs w:val="28"/>
        </w:rPr>
        <w:t xml:space="preserve"> </w:t>
      </w:r>
      <w:r w:rsidR="003C09C6">
        <w:rPr>
          <w:sz w:val="28"/>
          <w:szCs w:val="28"/>
        </w:rPr>
        <w:t xml:space="preserve">alla </w:t>
      </w:r>
      <w:proofErr w:type="spellStart"/>
      <w:r w:rsidR="003C09C6" w:rsidRPr="003C09C6">
        <w:rPr>
          <w:i/>
          <w:sz w:val="28"/>
          <w:szCs w:val="28"/>
        </w:rPr>
        <w:t>peer</w:t>
      </w:r>
      <w:proofErr w:type="spellEnd"/>
      <w:r w:rsidR="003C09C6" w:rsidRPr="003C09C6">
        <w:rPr>
          <w:i/>
          <w:sz w:val="28"/>
          <w:szCs w:val="28"/>
        </w:rPr>
        <w:t xml:space="preserve"> </w:t>
      </w:r>
      <w:proofErr w:type="spellStart"/>
      <w:r w:rsidR="003C09C6" w:rsidRPr="003C09C6">
        <w:rPr>
          <w:i/>
          <w:sz w:val="28"/>
          <w:szCs w:val="28"/>
        </w:rPr>
        <w:t>education</w:t>
      </w:r>
      <w:proofErr w:type="spellEnd"/>
      <w:r w:rsidR="003C09C6">
        <w:rPr>
          <w:sz w:val="28"/>
          <w:szCs w:val="28"/>
        </w:rPr>
        <w:t xml:space="preserve">, </w:t>
      </w:r>
      <w:r w:rsidR="000B27EF">
        <w:rPr>
          <w:sz w:val="28"/>
          <w:szCs w:val="28"/>
        </w:rPr>
        <w:t xml:space="preserve"> all’orientamento</w:t>
      </w:r>
      <w:r w:rsidR="003C09C6">
        <w:rPr>
          <w:sz w:val="28"/>
          <w:szCs w:val="28"/>
        </w:rPr>
        <w:t xml:space="preserve"> scolastico e professionale</w:t>
      </w:r>
      <w:r w:rsidR="000B27EF">
        <w:rPr>
          <w:sz w:val="28"/>
          <w:szCs w:val="28"/>
        </w:rPr>
        <w:t xml:space="preserve">.  </w:t>
      </w:r>
      <w:r w:rsidR="00E672DA">
        <w:rPr>
          <w:sz w:val="28"/>
          <w:szCs w:val="28"/>
        </w:rPr>
        <w:t xml:space="preserve"> </w:t>
      </w:r>
      <w:r w:rsidR="00FD3758">
        <w:rPr>
          <w:sz w:val="28"/>
          <w:szCs w:val="28"/>
        </w:rPr>
        <w:t>Attualmente i</w:t>
      </w:r>
      <w:r w:rsidR="00DE53E2">
        <w:rPr>
          <w:sz w:val="28"/>
          <w:szCs w:val="28"/>
        </w:rPr>
        <w:t xml:space="preserve"> principali campi di interesse sono quattro.</w:t>
      </w:r>
    </w:p>
    <w:p w:rsidR="001848B5" w:rsidRDefault="00997084" w:rsidP="00785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322B2C">
        <w:rPr>
          <w:i/>
          <w:sz w:val="28"/>
          <w:szCs w:val="28"/>
          <w:u w:val="single"/>
        </w:rPr>
        <w:t>primo campo</w:t>
      </w:r>
      <w:r>
        <w:rPr>
          <w:sz w:val="28"/>
          <w:szCs w:val="28"/>
        </w:rPr>
        <w:t xml:space="preserve"> </w:t>
      </w:r>
      <w:r w:rsidR="00F33159">
        <w:rPr>
          <w:sz w:val="28"/>
          <w:szCs w:val="28"/>
        </w:rPr>
        <w:t xml:space="preserve">riguarda le competenze glottodidattiche specialistiche necessarie ad insegnare </w:t>
      </w:r>
      <w:r w:rsidR="00346CE9">
        <w:rPr>
          <w:sz w:val="28"/>
          <w:szCs w:val="28"/>
        </w:rPr>
        <w:t xml:space="preserve"> l’italiano </w:t>
      </w:r>
      <w:r w:rsidR="00F33159">
        <w:rPr>
          <w:sz w:val="28"/>
          <w:szCs w:val="28"/>
        </w:rPr>
        <w:t xml:space="preserve">non solo </w:t>
      </w:r>
      <w:r w:rsidR="00346CE9">
        <w:rPr>
          <w:sz w:val="28"/>
          <w:szCs w:val="28"/>
        </w:rPr>
        <w:t>agli studenti stranieri neo</w:t>
      </w:r>
      <w:r w:rsidR="003462BA">
        <w:rPr>
          <w:sz w:val="28"/>
          <w:szCs w:val="28"/>
        </w:rPr>
        <w:t>-</w:t>
      </w:r>
      <w:r w:rsidR="00346CE9">
        <w:rPr>
          <w:sz w:val="28"/>
          <w:szCs w:val="28"/>
        </w:rPr>
        <w:t xml:space="preserve">arrivati </w:t>
      </w:r>
      <w:r w:rsidR="00F33159">
        <w:rPr>
          <w:sz w:val="28"/>
          <w:szCs w:val="28"/>
        </w:rPr>
        <w:t>ma  più in generale</w:t>
      </w:r>
      <w:r w:rsidR="00346CE9">
        <w:rPr>
          <w:sz w:val="28"/>
          <w:szCs w:val="28"/>
        </w:rPr>
        <w:t xml:space="preserve"> </w:t>
      </w:r>
      <w:r w:rsidR="00346CE9">
        <w:rPr>
          <w:sz w:val="28"/>
          <w:szCs w:val="28"/>
        </w:rPr>
        <w:lastRenderedPageBreak/>
        <w:t>agli studenti</w:t>
      </w:r>
      <w:r w:rsidR="00240FE7">
        <w:rPr>
          <w:sz w:val="28"/>
          <w:szCs w:val="28"/>
        </w:rPr>
        <w:t>, anche nati in Italia,</w:t>
      </w:r>
      <w:r w:rsidR="00346CE9">
        <w:rPr>
          <w:sz w:val="28"/>
          <w:szCs w:val="28"/>
        </w:rPr>
        <w:t xml:space="preserve"> </w:t>
      </w:r>
      <w:r w:rsidR="00F33159">
        <w:rPr>
          <w:sz w:val="28"/>
          <w:szCs w:val="28"/>
        </w:rPr>
        <w:t>che non hanno l’italiano come lingua materna almeno finché non abbiano raggiunto il l</w:t>
      </w:r>
      <w:r w:rsidR="00DE53E2">
        <w:rPr>
          <w:sz w:val="28"/>
          <w:szCs w:val="28"/>
        </w:rPr>
        <w:t xml:space="preserve">ivello B1 del </w:t>
      </w:r>
      <w:proofErr w:type="spellStart"/>
      <w:r w:rsidR="00DE53E2">
        <w:rPr>
          <w:sz w:val="28"/>
          <w:szCs w:val="28"/>
        </w:rPr>
        <w:t>framework</w:t>
      </w:r>
      <w:proofErr w:type="spellEnd"/>
      <w:r w:rsidR="00DE53E2">
        <w:rPr>
          <w:sz w:val="28"/>
          <w:szCs w:val="28"/>
        </w:rPr>
        <w:t xml:space="preserve"> europeo. La presenza di insegnanti specialisti</w:t>
      </w:r>
      <w:r w:rsidR="001C58E4">
        <w:rPr>
          <w:sz w:val="28"/>
          <w:szCs w:val="28"/>
        </w:rPr>
        <w:t>, oltre ad</w:t>
      </w:r>
      <w:r w:rsidR="00DE53E2">
        <w:rPr>
          <w:sz w:val="28"/>
          <w:szCs w:val="28"/>
        </w:rPr>
        <w:t xml:space="preserve"> </w:t>
      </w:r>
      <w:r w:rsidR="001C58E4">
        <w:rPr>
          <w:sz w:val="28"/>
          <w:szCs w:val="28"/>
        </w:rPr>
        <w:t xml:space="preserve">assicurare la possibilità di attivare laboratori </w:t>
      </w:r>
      <w:r w:rsidR="00FD3758">
        <w:rPr>
          <w:sz w:val="28"/>
          <w:szCs w:val="28"/>
        </w:rPr>
        <w:t xml:space="preserve">permanenti </w:t>
      </w:r>
      <w:r w:rsidR="001C58E4">
        <w:rPr>
          <w:sz w:val="28"/>
          <w:szCs w:val="28"/>
        </w:rPr>
        <w:t>o moduli di apprendimento linguistico intensivo, costituisce una risorsa essenziale per l’intero team docent</w:t>
      </w:r>
      <w:r w:rsidR="00322B2C">
        <w:rPr>
          <w:sz w:val="28"/>
          <w:szCs w:val="28"/>
        </w:rPr>
        <w:t>e</w:t>
      </w:r>
      <w:r w:rsidR="001C58E4">
        <w:rPr>
          <w:sz w:val="28"/>
          <w:szCs w:val="28"/>
        </w:rPr>
        <w:t xml:space="preserve"> che opera in classi multiculturali. Tutti gli insegnanti</w:t>
      </w:r>
      <w:r w:rsidR="00160626">
        <w:rPr>
          <w:sz w:val="28"/>
          <w:szCs w:val="28"/>
        </w:rPr>
        <w:t xml:space="preserve"> del team</w:t>
      </w:r>
      <w:r w:rsidR="001C58E4">
        <w:rPr>
          <w:sz w:val="28"/>
          <w:szCs w:val="28"/>
        </w:rPr>
        <w:t xml:space="preserve">, infatti, </w:t>
      </w:r>
      <w:r w:rsidR="00240FE7">
        <w:rPr>
          <w:sz w:val="28"/>
          <w:szCs w:val="28"/>
        </w:rPr>
        <w:t xml:space="preserve">devono essere messi al corrente dei livelli e dei processi evolutivi </w:t>
      </w:r>
      <w:r w:rsidR="00D53493">
        <w:rPr>
          <w:sz w:val="28"/>
          <w:szCs w:val="28"/>
        </w:rPr>
        <w:t>della</w:t>
      </w:r>
      <w:r w:rsidR="00240FE7">
        <w:rPr>
          <w:sz w:val="28"/>
          <w:szCs w:val="28"/>
        </w:rPr>
        <w:t xml:space="preserve"> competenza linguistica degli studenti stranieri, delle caratteristiche dell’”interlingua”  e delle eventuali “fossilizzazioni”</w:t>
      </w:r>
      <w:r w:rsidR="001848B5">
        <w:rPr>
          <w:sz w:val="28"/>
          <w:szCs w:val="28"/>
        </w:rPr>
        <w:t xml:space="preserve"> che occorre saper contrastare in </w:t>
      </w:r>
      <w:r w:rsidR="00D53493">
        <w:rPr>
          <w:sz w:val="28"/>
          <w:szCs w:val="28"/>
        </w:rPr>
        <w:t xml:space="preserve">ogni ambito disciplinare, dell’importanza delle strumentazioni didattiche che facilitano l’apprendimento </w:t>
      </w:r>
      <w:r w:rsidR="00FD3758">
        <w:rPr>
          <w:sz w:val="28"/>
          <w:szCs w:val="28"/>
        </w:rPr>
        <w:t xml:space="preserve">e la verifica dei risultati </w:t>
      </w:r>
      <w:r w:rsidR="00D53493">
        <w:rPr>
          <w:sz w:val="28"/>
          <w:szCs w:val="28"/>
        </w:rPr>
        <w:t>anche in assenza di una piena padronanza linguistica.</w:t>
      </w:r>
      <w:r w:rsidR="001848B5">
        <w:rPr>
          <w:sz w:val="28"/>
          <w:szCs w:val="28"/>
        </w:rPr>
        <w:t xml:space="preserve"> Il contributo degli insegnanti specialisti in italiano lingua 2 è inoltre della massima importanza per </w:t>
      </w:r>
      <w:r w:rsidR="00FD3758">
        <w:rPr>
          <w:sz w:val="28"/>
          <w:szCs w:val="28"/>
        </w:rPr>
        <w:t xml:space="preserve">ancorare all’analisi ricorrente dei livelli di competenza linguistica </w:t>
      </w:r>
      <w:r w:rsidR="001848B5">
        <w:rPr>
          <w:sz w:val="28"/>
          <w:szCs w:val="28"/>
        </w:rPr>
        <w:t>le decisioni del team in ordine alla flessibilità organizzativa e didattica dei percorsi di studio degli studenti stranieri.</w:t>
      </w:r>
    </w:p>
    <w:p w:rsidR="00EC299F" w:rsidRDefault="00EC299F" w:rsidP="00785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Relativamente a questo campo </w:t>
      </w:r>
      <w:r w:rsidR="00A879C2">
        <w:rPr>
          <w:sz w:val="28"/>
          <w:szCs w:val="28"/>
        </w:rPr>
        <w:t>appare essenziale l'approfondimento delle seguenti</w:t>
      </w:r>
      <w:r>
        <w:rPr>
          <w:sz w:val="28"/>
          <w:szCs w:val="28"/>
        </w:rPr>
        <w:t xml:space="preserve"> tematiche specifiche:</w:t>
      </w:r>
    </w:p>
    <w:p w:rsidR="00A879C2" w:rsidRPr="00322B2C" w:rsidRDefault="00322B2C" w:rsidP="00322B2C">
      <w:pPr>
        <w:pStyle w:val="Paragrafoelenco"/>
        <w:numPr>
          <w:ilvl w:val="0"/>
          <w:numId w:val="14"/>
        </w:numPr>
        <w:suppressAutoHyphens/>
        <w:jc w:val="both"/>
        <w:rPr>
          <w:color w:val="000000" w:themeColor="text1"/>
          <w:sz w:val="28"/>
          <w:szCs w:val="28"/>
        </w:rPr>
      </w:pPr>
      <w:r w:rsidRPr="00322B2C">
        <w:rPr>
          <w:color w:val="000000" w:themeColor="text1"/>
          <w:sz w:val="28"/>
          <w:szCs w:val="28"/>
        </w:rPr>
        <w:t xml:space="preserve">Italiano </w:t>
      </w:r>
      <w:r w:rsidR="00A879C2" w:rsidRPr="00322B2C">
        <w:rPr>
          <w:color w:val="000000" w:themeColor="text1"/>
          <w:sz w:val="28"/>
          <w:szCs w:val="28"/>
        </w:rPr>
        <w:t xml:space="preserve"> Lingua 2 – aspetti generali (tutti i gradi);</w:t>
      </w:r>
    </w:p>
    <w:p w:rsidR="00A879C2" w:rsidRPr="00322B2C" w:rsidRDefault="00A879C2" w:rsidP="00A879C2">
      <w:pPr>
        <w:numPr>
          <w:ilvl w:val="0"/>
          <w:numId w:val="8"/>
        </w:numPr>
        <w:suppressAutoHyphens/>
        <w:ind w:left="720"/>
        <w:jc w:val="both"/>
        <w:rPr>
          <w:color w:val="000000" w:themeColor="text1"/>
          <w:sz w:val="28"/>
          <w:szCs w:val="28"/>
        </w:rPr>
      </w:pPr>
      <w:r w:rsidRPr="00322B2C">
        <w:rPr>
          <w:color w:val="000000" w:themeColor="text1"/>
          <w:sz w:val="28"/>
          <w:szCs w:val="28"/>
        </w:rPr>
        <w:t xml:space="preserve">Italiano Lingua 2 – </w:t>
      </w:r>
      <w:proofErr w:type="spellStart"/>
      <w:r w:rsidRPr="00322B2C">
        <w:rPr>
          <w:color w:val="000000" w:themeColor="text1"/>
          <w:sz w:val="28"/>
          <w:szCs w:val="28"/>
        </w:rPr>
        <w:t>Italbase</w:t>
      </w:r>
      <w:proofErr w:type="spellEnd"/>
      <w:r w:rsidRPr="00322B2C">
        <w:rPr>
          <w:color w:val="000000" w:themeColor="text1"/>
          <w:sz w:val="28"/>
          <w:szCs w:val="28"/>
        </w:rPr>
        <w:t xml:space="preserve"> (tutti i gradi);</w:t>
      </w:r>
    </w:p>
    <w:p w:rsidR="00EC299F" w:rsidRPr="00322B2C" w:rsidRDefault="00A879C2" w:rsidP="00322B2C">
      <w:pPr>
        <w:pStyle w:val="Paragrafoelenco"/>
        <w:numPr>
          <w:ilvl w:val="0"/>
          <w:numId w:val="14"/>
        </w:numPr>
        <w:suppressAutoHyphens/>
        <w:jc w:val="both"/>
        <w:rPr>
          <w:color w:val="000000" w:themeColor="text1"/>
          <w:sz w:val="28"/>
          <w:szCs w:val="28"/>
        </w:rPr>
      </w:pPr>
      <w:r w:rsidRPr="00322B2C">
        <w:rPr>
          <w:color w:val="000000" w:themeColor="text1"/>
          <w:sz w:val="28"/>
          <w:szCs w:val="28"/>
        </w:rPr>
        <w:t xml:space="preserve">Italiano Lingua 2 – </w:t>
      </w:r>
      <w:proofErr w:type="spellStart"/>
      <w:r w:rsidRPr="00322B2C">
        <w:rPr>
          <w:color w:val="000000" w:themeColor="text1"/>
          <w:sz w:val="28"/>
          <w:szCs w:val="28"/>
        </w:rPr>
        <w:t>Italstudio</w:t>
      </w:r>
      <w:proofErr w:type="spellEnd"/>
      <w:r w:rsidRPr="00322B2C">
        <w:rPr>
          <w:color w:val="000000" w:themeColor="text1"/>
          <w:sz w:val="28"/>
          <w:szCs w:val="28"/>
        </w:rPr>
        <w:t xml:space="preserve"> ( scuole secondarie di 1° e 2°grado).</w:t>
      </w:r>
    </w:p>
    <w:p w:rsidR="00997084" w:rsidRDefault="001848B5" w:rsidP="00785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322B2C">
        <w:rPr>
          <w:i/>
          <w:sz w:val="28"/>
          <w:szCs w:val="28"/>
          <w:u w:val="single"/>
        </w:rPr>
        <w:t xml:space="preserve">secondo </w:t>
      </w:r>
      <w:r w:rsidR="00F33159" w:rsidRPr="00322B2C">
        <w:rPr>
          <w:i/>
          <w:sz w:val="28"/>
          <w:szCs w:val="28"/>
          <w:u w:val="single"/>
        </w:rPr>
        <w:t xml:space="preserve"> campo</w:t>
      </w:r>
      <w:r w:rsidR="00F33159">
        <w:rPr>
          <w:sz w:val="28"/>
          <w:szCs w:val="28"/>
        </w:rPr>
        <w:t xml:space="preserve"> di formazione riguarda lo svilu</w:t>
      </w:r>
      <w:r w:rsidR="00203E6A">
        <w:rPr>
          <w:sz w:val="28"/>
          <w:szCs w:val="28"/>
        </w:rPr>
        <w:t xml:space="preserve">ppo delle competenze </w:t>
      </w:r>
      <w:r w:rsidR="00F33159">
        <w:rPr>
          <w:sz w:val="28"/>
          <w:szCs w:val="28"/>
        </w:rPr>
        <w:t xml:space="preserve"> di cui hanno biso</w:t>
      </w:r>
      <w:r>
        <w:rPr>
          <w:sz w:val="28"/>
          <w:szCs w:val="28"/>
        </w:rPr>
        <w:t xml:space="preserve">gno tutti gli insegnanti del team </w:t>
      </w:r>
      <w:r w:rsidR="00F33159">
        <w:rPr>
          <w:sz w:val="28"/>
          <w:szCs w:val="28"/>
        </w:rPr>
        <w:t xml:space="preserve"> per elaborare e gestire in modo condiviso i “piani educativi personalizzati”. </w:t>
      </w:r>
      <w:r w:rsidR="002706B0">
        <w:rPr>
          <w:sz w:val="28"/>
          <w:szCs w:val="28"/>
        </w:rPr>
        <w:t xml:space="preserve">Ciò significa </w:t>
      </w:r>
      <w:r w:rsidR="00160626">
        <w:rPr>
          <w:sz w:val="28"/>
          <w:szCs w:val="28"/>
        </w:rPr>
        <w:t xml:space="preserve">saper </w:t>
      </w:r>
      <w:r w:rsidR="00265A34">
        <w:rPr>
          <w:sz w:val="28"/>
          <w:szCs w:val="28"/>
        </w:rPr>
        <w:t>co-</w:t>
      </w:r>
      <w:r w:rsidR="002706B0">
        <w:rPr>
          <w:sz w:val="28"/>
          <w:szCs w:val="28"/>
        </w:rPr>
        <w:t xml:space="preserve">decidere </w:t>
      </w:r>
      <w:r w:rsidR="00160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l’adattamento dei curricoli secondo i livelli e i progressi delle competenze linguistiche degli studenti, </w:t>
      </w:r>
      <w:r w:rsidR="002706B0">
        <w:rPr>
          <w:sz w:val="28"/>
          <w:szCs w:val="28"/>
        </w:rPr>
        <w:t xml:space="preserve"> individuando gli obiettivi disciplinari irrinunciabili e anche </w:t>
      </w:r>
      <w:r w:rsidR="00F33159">
        <w:rPr>
          <w:sz w:val="28"/>
          <w:szCs w:val="28"/>
        </w:rPr>
        <w:t>i possibili strumenti alternativi</w:t>
      </w:r>
      <w:r>
        <w:rPr>
          <w:sz w:val="28"/>
          <w:szCs w:val="28"/>
        </w:rPr>
        <w:t xml:space="preserve"> per raggiungerli, semplificando </w:t>
      </w:r>
      <w:r w:rsidR="00160626">
        <w:rPr>
          <w:sz w:val="28"/>
          <w:szCs w:val="28"/>
        </w:rPr>
        <w:t xml:space="preserve">dove necessario </w:t>
      </w:r>
      <w:r>
        <w:rPr>
          <w:sz w:val="28"/>
          <w:szCs w:val="28"/>
        </w:rPr>
        <w:t>i contenuti e sviluppando</w:t>
      </w:r>
      <w:r w:rsidR="00F33159">
        <w:rPr>
          <w:sz w:val="28"/>
          <w:szCs w:val="28"/>
        </w:rPr>
        <w:t xml:space="preserve"> la conoscenza dei codici linguistici delle diverse discipline e la lingua “per lo studio</w:t>
      </w:r>
      <w:r w:rsidR="00322B2C">
        <w:rPr>
          <w:sz w:val="28"/>
          <w:szCs w:val="28"/>
        </w:rPr>
        <w:t>”</w:t>
      </w:r>
      <w:r w:rsidR="00997084">
        <w:rPr>
          <w:sz w:val="28"/>
          <w:szCs w:val="28"/>
        </w:rPr>
        <w:t>. La formazione a questo compito, e alla sua condivisione, è molto importante soprattutto nella secondaria dove le discipline sono ben distinte e insegnate da docenti con for</w:t>
      </w:r>
      <w:r w:rsidR="00203E6A">
        <w:rPr>
          <w:sz w:val="28"/>
          <w:szCs w:val="28"/>
        </w:rPr>
        <w:t xml:space="preserve">mazioni personali molto diverse : </w:t>
      </w:r>
      <w:r w:rsidR="00997084">
        <w:rPr>
          <w:sz w:val="28"/>
          <w:szCs w:val="28"/>
        </w:rPr>
        <w:t xml:space="preserve"> bisogna </w:t>
      </w:r>
      <w:r w:rsidR="00203E6A">
        <w:rPr>
          <w:sz w:val="28"/>
          <w:szCs w:val="28"/>
        </w:rPr>
        <w:t xml:space="preserve">quindi </w:t>
      </w:r>
      <w:r w:rsidR="00997084">
        <w:rPr>
          <w:sz w:val="28"/>
          <w:szCs w:val="28"/>
        </w:rPr>
        <w:t xml:space="preserve">imparare ad usare un linguaggio comune e ad </w:t>
      </w:r>
      <w:r w:rsidR="00203E6A">
        <w:rPr>
          <w:sz w:val="28"/>
          <w:szCs w:val="28"/>
        </w:rPr>
        <w:t xml:space="preserve">elaborare insieme </w:t>
      </w:r>
      <w:r w:rsidR="00160626">
        <w:rPr>
          <w:sz w:val="28"/>
          <w:szCs w:val="28"/>
        </w:rPr>
        <w:t xml:space="preserve">scelte  </w:t>
      </w:r>
      <w:r w:rsidR="00997084">
        <w:rPr>
          <w:sz w:val="28"/>
          <w:szCs w:val="28"/>
        </w:rPr>
        <w:t xml:space="preserve"> </w:t>
      </w:r>
      <w:r w:rsidR="00203E6A">
        <w:rPr>
          <w:sz w:val="28"/>
          <w:szCs w:val="28"/>
        </w:rPr>
        <w:t xml:space="preserve">organizzative e </w:t>
      </w:r>
      <w:r w:rsidR="00160626">
        <w:rPr>
          <w:sz w:val="28"/>
          <w:szCs w:val="28"/>
        </w:rPr>
        <w:t xml:space="preserve">pratiche </w:t>
      </w:r>
      <w:r w:rsidR="00203E6A">
        <w:rPr>
          <w:sz w:val="28"/>
          <w:szCs w:val="28"/>
        </w:rPr>
        <w:t xml:space="preserve">didattiche </w:t>
      </w:r>
      <w:r w:rsidR="00997084">
        <w:rPr>
          <w:sz w:val="28"/>
          <w:szCs w:val="28"/>
        </w:rPr>
        <w:t xml:space="preserve">che </w:t>
      </w:r>
      <w:r w:rsidR="00203E6A">
        <w:rPr>
          <w:sz w:val="28"/>
          <w:szCs w:val="28"/>
        </w:rPr>
        <w:t xml:space="preserve">convincano tutti e da tutti vengano </w:t>
      </w:r>
      <w:r w:rsidR="003C09C6">
        <w:rPr>
          <w:sz w:val="28"/>
          <w:szCs w:val="28"/>
        </w:rPr>
        <w:t xml:space="preserve">effettivamente </w:t>
      </w:r>
      <w:r w:rsidR="00203E6A">
        <w:rPr>
          <w:sz w:val="28"/>
          <w:szCs w:val="28"/>
        </w:rPr>
        <w:t>adottate</w:t>
      </w:r>
      <w:r w:rsidR="00997084">
        <w:rPr>
          <w:sz w:val="28"/>
          <w:szCs w:val="28"/>
        </w:rPr>
        <w:t xml:space="preserve">. </w:t>
      </w:r>
      <w:r w:rsidR="003C09C6">
        <w:rPr>
          <w:sz w:val="28"/>
          <w:szCs w:val="28"/>
        </w:rPr>
        <w:t xml:space="preserve">Tutto ciò è particolarmente importante in una scuola come la nostra in cui è spesso prevalente, soprattutto nella secondaria, una  didattica fortemente incentrata sulla </w:t>
      </w:r>
      <w:r w:rsidR="003C09C6">
        <w:rPr>
          <w:sz w:val="28"/>
          <w:szCs w:val="28"/>
        </w:rPr>
        <w:lastRenderedPageBreak/>
        <w:t>trasmissione verbale e sull’</w:t>
      </w:r>
      <w:r w:rsidR="00160626">
        <w:rPr>
          <w:sz w:val="28"/>
          <w:szCs w:val="28"/>
        </w:rPr>
        <w:t xml:space="preserve">utilizzo di testi scritti di difficile comprensione per </w:t>
      </w:r>
      <w:r w:rsidR="009F57A7">
        <w:rPr>
          <w:sz w:val="28"/>
          <w:szCs w:val="28"/>
        </w:rPr>
        <w:t xml:space="preserve">chi non abbia ancora una piena padronanza linguistica. </w:t>
      </w:r>
      <w:r w:rsidR="00230FC2">
        <w:rPr>
          <w:sz w:val="28"/>
          <w:szCs w:val="28"/>
        </w:rPr>
        <w:t>E in cui</w:t>
      </w:r>
      <w:r w:rsidR="00322B2C">
        <w:rPr>
          <w:sz w:val="28"/>
          <w:szCs w:val="28"/>
        </w:rPr>
        <w:t xml:space="preserve"> molti insegnanti contano molto</w:t>
      </w:r>
      <w:r w:rsidR="00230FC2">
        <w:rPr>
          <w:sz w:val="28"/>
          <w:szCs w:val="28"/>
        </w:rPr>
        <w:t xml:space="preserve"> sull’assistenza delle famiglie nei compiti a casa, un’assistenza che, nel caso degli studenti stranieri, è di solito </w:t>
      </w:r>
      <w:r w:rsidR="00322B2C">
        <w:rPr>
          <w:sz w:val="28"/>
          <w:szCs w:val="28"/>
        </w:rPr>
        <w:t xml:space="preserve">problematica o </w:t>
      </w:r>
      <w:r w:rsidR="00230FC2">
        <w:rPr>
          <w:sz w:val="28"/>
          <w:szCs w:val="28"/>
        </w:rPr>
        <w:t>impossibile proprio per motivi linguistici.</w:t>
      </w:r>
      <w:r w:rsidR="00203E6A">
        <w:rPr>
          <w:sz w:val="28"/>
          <w:szCs w:val="28"/>
        </w:rPr>
        <w:t xml:space="preserve"> </w:t>
      </w:r>
      <w:r w:rsidR="00997084">
        <w:rPr>
          <w:sz w:val="28"/>
          <w:szCs w:val="28"/>
        </w:rPr>
        <w:t>A di</w:t>
      </w:r>
      <w:r w:rsidR="00203E6A">
        <w:rPr>
          <w:sz w:val="28"/>
          <w:szCs w:val="28"/>
        </w:rPr>
        <w:t xml:space="preserve">fferenza </w:t>
      </w:r>
      <w:r w:rsidR="00997084">
        <w:rPr>
          <w:sz w:val="28"/>
          <w:szCs w:val="28"/>
        </w:rPr>
        <w:t>del prim</w:t>
      </w:r>
      <w:r w:rsidR="00203E6A">
        <w:rPr>
          <w:sz w:val="28"/>
          <w:szCs w:val="28"/>
        </w:rPr>
        <w:t xml:space="preserve">o campo, </w:t>
      </w:r>
      <w:r w:rsidR="00997084">
        <w:rPr>
          <w:sz w:val="28"/>
          <w:szCs w:val="28"/>
        </w:rPr>
        <w:t xml:space="preserve"> qui si tratta di formar</w:t>
      </w:r>
      <w:r w:rsidR="00203E6A">
        <w:rPr>
          <w:sz w:val="28"/>
          <w:szCs w:val="28"/>
        </w:rPr>
        <w:t>e competenze</w:t>
      </w:r>
      <w:r w:rsidR="009F57A7">
        <w:rPr>
          <w:sz w:val="28"/>
          <w:szCs w:val="28"/>
        </w:rPr>
        <w:t xml:space="preserve"> </w:t>
      </w:r>
      <w:r w:rsidR="00203E6A">
        <w:rPr>
          <w:sz w:val="28"/>
          <w:szCs w:val="28"/>
        </w:rPr>
        <w:t xml:space="preserve"> di tipo trasversale.</w:t>
      </w:r>
    </w:p>
    <w:p w:rsidR="00C878E2" w:rsidRPr="00322B2C" w:rsidRDefault="00D53493" w:rsidP="00785CE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Sono di tipo trasversale anche le competenze da sviluppare nel </w:t>
      </w:r>
      <w:r w:rsidR="003C09C6">
        <w:rPr>
          <w:sz w:val="28"/>
          <w:szCs w:val="28"/>
        </w:rPr>
        <w:t xml:space="preserve"> </w:t>
      </w:r>
      <w:r w:rsidR="003C09C6" w:rsidRPr="00322B2C">
        <w:rPr>
          <w:i/>
          <w:sz w:val="28"/>
          <w:szCs w:val="28"/>
          <w:u w:val="single"/>
        </w:rPr>
        <w:t>terzo campo</w:t>
      </w:r>
      <w:r w:rsidR="003C09C6">
        <w:rPr>
          <w:sz w:val="28"/>
          <w:szCs w:val="28"/>
        </w:rPr>
        <w:t xml:space="preserve"> di formazione, </w:t>
      </w:r>
      <w:r>
        <w:rPr>
          <w:sz w:val="28"/>
          <w:szCs w:val="28"/>
        </w:rPr>
        <w:t>quello dedicato alla valutazione. Un tema complesso e spesso controverso anche per le</w:t>
      </w:r>
      <w:r w:rsidR="009F57A7">
        <w:rPr>
          <w:sz w:val="28"/>
          <w:szCs w:val="28"/>
        </w:rPr>
        <w:t xml:space="preserve"> oggettive </w:t>
      </w:r>
      <w:r>
        <w:rPr>
          <w:sz w:val="28"/>
          <w:szCs w:val="28"/>
        </w:rPr>
        <w:t xml:space="preserve"> difficoltà </w:t>
      </w:r>
      <w:r w:rsidR="009F57A7">
        <w:rPr>
          <w:sz w:val="28"/>
          <w:szCs w:val="28"/>
        </w:rPr>
        <w:t xml:space="preserve">ad interpretare </w:t>
      </w:r>
      <w:r w:rsidR="00230FC2">
        <w:rPr>
          <w:sz w:val="28"/>
          <w:szCs w:val="28"/>
        </w:rPr>
        <w:t>una</w:t>
      </w:r>
      <w:r w:rsidR="00F0208E">
        <w:rPr>
          <w:sz w:val="28"/>
          <w:szCs w:val="28"/>
        </w:rPr>
        <w:t xml:space="preserve"> normativa </w:t>
      </w:r>
      <w:r w:rsidR="00230FC2">
        <w:rPr>
          <w:sz w:val="28"/>
          <w:szCs w:val="28"/>
        </w:rPr>
        <w:t xml:space="preserve">non abbastanza lineare </w:t>
      </w:r>
      <w:r w:rsidR="009F57A7">
        <w:rPr>
          <w:sz w:val="28"/>
          <w:szCs w:val="28"/>
        </w:rPr>
        <w:t xml:space="preserve">o, comunque, a realizzare un equilibrio soddisfacente tra indicazioni che da </w:t>
      </w:r>
      <w:r w:rsidR="009253EB">
        <w:rPr>
          <w:sz w:val="28"/>
          <w:szCs w:val="28"/>
        </w:rPr>
        <w:t>un lato</w:t>
      </w:r>
      <w:r>
        <w:rPr>
          <w:sz w:val="28"/>
          <w:szCs w:val="28"/>
        </w:rPr>
        <w:t xml:space="preserve"> </w:t>
      </w:r>
      <w:r w:rsidR="009253EB">
        <w:rPr>
          <w:sz w:val="28"/>
          <w:szCs w:val="28"/>
        </w:rPr>
        <w:t xml:space="preserve">sollecitano gli insegnanti ad adottare criteri valutativi che tengano conto del “necessario adattamento” del percorso scolastico, dall’altro </w:t>
      </w:r>
      <w:r w:rsidR="009F57A7">
        <w:rPr>
          <w:sz w:val="28"/>
          <w:szCs w:val="28"/>
        </w:rPr>
        <w:t>ribadi</w:t>
      </w:r>
      <w:r w:rsidR="00265A34">
        <w:rPr>
          <w:sz w:val="28"/>
          <w:szCs w:val="28"/>
        </w:rPr>
        <w:t>scono  prove degli esami di stato identiche per tutti.</w:t>
      </w:r>
      <w:r w:rsidR="009F57A7">
        <w:rPr>
          <w:sz w:val="28"/>
          <w:szCs w:val="28"/>
        </w:rPr>
        <w:t xml:space="preserve"> In attesa di regolamentazioni più appropriate alla complessità del contesto – tra cui </w:t>
      </w:r>
      <w:r w:rsidR="00265A34">
        <w:rPr>
          <w:sz w:val="28"/>
          <w:szCs w:val="28"/>
        </w:rPr>
        <w:t xml:space="preserve">sarebbe augurabile </w:t>
      </w:r>
      <w:r w:rsidR="009F57A7">
        <w:rPr>
          <w:sz w:val="28"/>
          <w:szCs w:val="28"/>
        </w:rPr>
        <w:t>la possibilità, per gli studenti stranieri delle prime classi della scuola secondaria superiore</w:t>
      </w:r>
      <w:r w:rsidR="00117C33">
        <w:rPr>
          <w:sz w:val="28"/>
          <w:szCs w:val="28"/>
        </w:rPr>
        <w:t>, di rinviare la valutazione sommativa al termine del biennio – la formazione degli insegnanti  offre strumenti culturali e professionali che supportino l’adozione di criteri di valutazione condivisi nell’ambito d</w:t>
      </w:r>
      <w:r w:rsidR="003747D7">
        <w:rPr>
          <w:sz w:val="28"/>
          <w:szCs w:val="28"/>
        </w:rPr>
        <w:t>ell’istituto in ordine alla</w:t>
      </w:r>
      <w:r w:rsidR="00117C33">
        <w:rPr>
          <w:sz w:val="28"/>
          <w:szCs w:val="28"/>
        </w:rPr>
        <w:t xml:space="preserve"> coerenza con i “piani educativi personalizzati”, con i progressi conseguiti dagli studenti, con le loro potenzialità di sviluppo. </w:t>
      </w:r>
      <w:r w:rsidR="00265A34">
        <w:rPr>
          <w:sz w:val="28"/>
          <w:szCs w:val="28"/>
        </w:rPr>
        <w:t xml:space="preserve">E </w:t>
      </w:r>
      <w:r w:rsidR="00230FC2">
        <w:rPr>
          <w:sz w:val="28"/>
          <w:szCs w:val="28"/>
        </w:rPr>
        <w:t xml:space="preserve">che tengano nella debita considerazione anche </w:t>
      </w:r>
      <w:r w:rsidR="00265A34">
        <w:rPr>
          <w:sz w:val="28"/>
          <w:szCs w:val="28"/>
        </w:rPr>
        <w:t xml:space="preserve"> il tempo trascorso dal primo inserimento scolastico. Quand</w:t>
      </w:r>
      <w:r w:rsidR="003747D7">
        <w:rPr>
          <w:sz w:val="28"/>
          <w:szCs w:val="28"/>
        </w:rPr>
        <w:t>o  - per esempio - il primo inserimento</w:t>
      </w:r>
      <w:r w:rsidR="00265A34">
        <w:rPr>
          <w:sz w:val="28"/>
          <w:szCs w:val="28"/>
        </w:rPr>
        <w:t xml:space="preserve"> avviene nelle classi terminali del ciclo</w:t>
      </w:r>
      <w:r w:rsidR="003747D7">
        <w:rPr>
          <w:sz w:val="28"/>
          <w:szCs w:val="28"/>
        </w:rPr>
        <w:t>, ci si trova di fronte a tempi obiettivamente troppo stretti per poter affrontare con successo un esame di stato. Si tratta dunque, come è evidente, di questioni che non possono esse</w:t>
      </w:r>
      <w:r w:rsidR="00F0208E">
        <w:rPr>
          <w:sz w:val="28"/>
          <w:szCs w:val="28"/>
        </w:rPr>
        <w:t>re risolte</w:t>
      </w:r>
      <w:r w:rsidR="003747D7">
        <w:rPr>
          <w:sz w:val="28"/>
          <w:szCs w:val="28"/>
        </w:rPr>
        <w:t xml:space="preserve"> solo da interventi formativi. E tuttavia è importante che la valutazione non venga trascurata nelle attività di formazione degli insegnanti</w:t>
      </w:r>
      <w:r w:rsidR="00230FC2">
        <w:rPr>
          <w:sz w:val="28"/>
          <w:szCs w:val="28"/>
        </w:rPr>
        <w:t xml:space="preserve">, e che costituisca un ambito di confronto e di riflessione sulle pratiche in atto </w:t>
      </w:r>
      <w:r w:rsidR="003747D7">
        <w:rPr>
          <w:sz w:val="28"/>
          <w:szCs w:val="28"/>
        </w:rPr>
        <w:t xml:space="preserve">. </w:t>
      </w:r>
      <w:r w:rsidR="00117C33">
        <w:rPr>
          <w:sz w:val="28"/>
          <w:szCs w:val="28"/>
        </w:rPr>
        <w:t xml:space="preserve">E’ infatti </w:t>
      </w:r>
      <w:r w:rsidR="003747D7">
        <w:rPr>
          <w:sz w:val="28"/>
          <w:szCs w:val="28"/>
        </w:rPr>
        <w:t>piuttosto alto</w:t>
      </w:r>
      <w:r w:rsidR="00117C33">
        <w:rPr>
          <w:sz w:val="28"/>
          <w:szCs w:val="28"/>
        </w:rPr>
        <w:t xml:space="preserve"> il rischio, in particolare nel secondo ciclo, </w:t>
      </w:r>
      <w:r w:rsidR="003747D7">
        <w:rPr>
          <w:sz w:val="28"/>
          <w:szCs w:val="28"/>
        </w:rPr>
        <w:t xml:space="preserve">che la valutazione </w:t>
      </w:r>
      <w:r w:rsidR="00F0208E">
        <w:rPr>
          <w:sz w:val="28"/>
          <w:szCs w:val="28"/>
        </w:rPr>
        <w:t xml:space="preserve">sommativa </w:t>
      </w:r>
      <w:r w:rsidR="003747D7">
        <w:rPr>
          <w:sz w:val="28"/>
          <w:szCs w:val="28"/>
        </w:rPr>
        <w:t>guardi soprattutto alla distanza dei risultati da un ipotetico standard minimo di conoscenza per ogni</w:t>
      </w:r>
      <w:r w:rsidR="00F0208E">
        <w:rPr>
          <w:sz w:val="28"/>
          <w:szCs w:val="28"/>
        </w:rPr>
        <w:t xml:space="preserve"> disciplina di insegnamento, trascurando ogni altra considerazione.</w:t>
      </w:r>
      <w:r w:rsidR="003747D7">
        <w:rPr>
          <w:sz w:val="28"/>
          <w:szCs w:val="28"/>
        </w:rPr>
        <w:t xml:space="preserve"> O anche che la valutazione venga influenzata dal pregiudizio secondo cui chi non sa l’italiano</w:t>
      </w:r>
      <w:r w:rsidR="00F0208E">
        <w:rPr>
          <w:sz w:val="28"/>
          <w:szCs w:val="28"/>
        </w:rPr>
        <w:t xml:space="preserve"> di sicuro non sa niente, o non </w:t>
      </w:r>
      <w:r w:rsidR="00D13509">
        <w:rPr>
          <w:sz w:val="28"/>
          <w:szCs w:val="28"/>
        </w:rPr>
        <w:t xml:space="preserve">è in grado di </w:t>
      </w:r>
      <w:r w:rsidR="00F0208E">
        <w:rPr>
          <w:sz w:val="28"/>
          <w:szCs w:val="28"/>
        </w:rPr>
        <w:t xml:space="preserve"> imparare niente.</w:t>
      </w:r>
      <w:r w:rsidR="008C4253">
        <w:rPr>
          <w:sz w:val="28"/>
          <w:szCs w:val="28"/>
        </w:rPr>
        <w:t xml:space="preserve"> </w:t>
      </w:r>
      <w:r w:rsidR="008C4253" w:rsidRPr="00322B2C">
        <w:rPr>
          <w:color w:val="000000" w:themeColor="text1"/>
          <w:sz w:val="28"/>
          <w:szCs w:val="28"/>
        </w:rPr>
        <w:t xml:space="preserve">Occorre, pertanto, valutare l'apprendente in L2 in ogni disciplina tenendo conto degli elementi che condizionano l'apprendimento e dei modi attraverso i quali essa si realizza. Solo così infatti possono essere fissati obiettivi raggiungibili. Solo così è possibile insegnare in </w:t>
      </w:r>
      <w:r w:rsidR="008C4253" w:rsidRPr="00322B2C">
        <w:rPr>
          <w:color w:val="000000" w:themeColor="text1"/>
          <w:sz w:val="28"/>
          <w:szCs w:val="28"/>
        </w:rPr>
        <w:lastRenderedPageBreak/>
        <w:t xml:space="preserve">modo efficace. Nel valutare </w:t>
      </w:r>
      <w:r w:rsidR="00946A9E" w:rsidRPr="00322B2C">
        <w:rPr>
          <w:color w:val="000000" w:themeColor="text1"/>
          <w:sz w:val="28"/>
          <w:szCs w:val="28"/>
        </w:rPr>
        <w:t>bisognerà tenere in debito conto i  p</w:t>
      </w:r>
      <w:r w:rsidR="00162AAA" w:rsidRPr="00322B2C">
        <w:rPr>
          <w:color w:val="000000" w:themeColor="text1"/>
          <w:sz w:val="28"/>
          <w:szCs w:val="28"/>
        </w:rPr>
        <w:t>rogressi nell’interlingua</w:t>
      </w:r>
      <w:r w:rsidR="00946A9E" w:rsidRPr="00322B2C">
        <w:rPr>
          <w:color w:val="000000" w:themeColor="text1"/>
          <w:sz w:val="28"/>
          <w:szCs w:val="28"/>
        </w:rPr>
        <w:t xml:space="preserve"> e valorizzare la c</w:t>
      </w:r>
      <w:r w:rsidR="00162AAA" w:rsidRPr="00322B2C">
        <w:rPr>
          <w:color w:val="000000" w:themeColor="text1"/>
          <w:sz w:val="28"/>
          <w:szCs w:val="28"/>
        </w:rPr>
        <w:t>omprensione rispetto alla correttezza dell’espressione</w:t>
      </w:r>
      <w:r w:rsidR="00946A9E" w:rsidRPr="00322B2C">
        <w:rPr>
          <w:color w:val="000000" w:themeColor="text1"/>
          <w:sz w:val="28"/>
          <w:szCs w:val="28"/>
        </w:rPr>
        <w:t>. Occorre pensare  strumenti di valutazione che consentano di minimizzare l'ostacolo linguistico</w:t>
      </w:r>
      <w:r w:rsidR="00C878E2" w:rsidRPr="00322B2C">
        <w:rPr>
          <w:color w:val="000000" w:themeColor="text1"/>
          <w:sz w:val="28"/>
          <w:szCs w:val="28"/>
        </w:rPr>
        <w:t xml:space="preserve"> quali p</w:t>
      </w:r>
      <w:r w:rsidR="00162AAA" w:rsidRPr="00322B2C">
        <w:rPr>
          <w:color w:val="000000" w:themeColor="text1"/>
          <w:sz w:val="28"/>
          <w:szCs w:val="28"/>
        </w:rPr>
        <w:t>rove che c</w:t>
      </w:r>
      <w:r w:rsidR="00C878E2" w:rsidRPr="00322B2C">
        <w:rPr>
          <w:color w:val="000000" w:themeColor="text1"/>
          <w:sz w:val="28"/>
          <w:szCs w:val="28"/>
        </w:rPr>
        <w:t>ontengano immagini, grafici, d</w:t>
      </w:r>
      <w:r w:rsidR="00162AAA" w:rsidRPr="00322B2C">
        <w:rPr>
          <w:color w:val="000000" w:themeColor="text1"/>
          <w:sz w:val="28"/>
          <w:szCs w:val="28"/>
        </w:rPr>
        <w:t>omande binarie</w:t>
      </w:r>
      <w:r w:rsidR="00C878E2" w:rsidRPr="00322B2C">
        <w:rPr>
          <w:color w:val="000000" w:themeColor="text1"/>
          <w:sz w:val="28"/>
          <w:szCs w:val="28"/>
        </w:rPr>
        <w:t>, c</w:t>
      </w:r>
      <w:r w:rsidR="00162AAA" w:rsidRPr="00322B2C">
        <w:rPr>
          <w:color w:val="000000" w:themeColor="text1"/>
          <w:sz w:val="28"/>
          <w:szCs w:val="28"/>
        </w:rPr>
        <w:t>reazione di legami concettuali graficamente rappresentati tra parole chiave</w:t>
      </w:r>
      <w:r w:rsidR="00C878E2" w:rsidRPr="00322B2C">
        <w:rPr>
          <w:color w:val="000000" w:themeColor="text1"/>
          <w:sz w:val="28"/>
          <w:szCs w:val="28"/>
        </w:rPr>
        <w:t>.</w:t>
      </w:r>
    </w:p>
    <w:p w:rsidR="0035779B" w:rsidRPr="00C878E2" w:rsidRDefault="00230FC2" w:rsidP="00785CE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322B2C">
        <w:rPr>
          <w:i/>
          <w:sz w:val="28"/>
          <w:szCs w:val="28"/>
          <w:u w:val="single"/>
        </w:rPr>
        <w:t>quarto campo</w:t>
      </w:r>
      <w:r>
        <w:rPr>
          <w:sz w:val="28"/>
          <w:szCs w:val="28"/>
        </w:rPr>
        <w:t xml:space="preserve"> è dedicato allo sviluppo della sensibilità culturale e delle conoscenze specifiche che possono favorire </w:t>
      </w:r>
      <w:r w:rsidR="0057519B">
        <w:rPr>
          <w:sz w:val="28"/>
          <w:szCs w:val="28"/>
        </w:rPr>
        <w:t xml:space="preserve">l’educazione all’interculturalità e alla cittadinanza. Temi notoriamente densi di implicazioni complesse da più punti di vista, e connotati nel contesto sia nazionale che internazionale da un dibattito </w:t>
      </w:r>
      <w:r w:rsidR="001C1D68">
        <w:rPr>
          <w:sz w:val="28"/>
          <w:szCs w:val="28"/>
        </w:rPr>
        <w:t xml:space="preserve">teorico e politico </w:t>
      </w:r>
      <w:r w:rsidR="0057519B">
        <w:rPr>
          <w:sz w:val="28"/>
          <w:szCs w:val="28"/>
        </w:rPr>
        <w:t xml:space="preserve">che sembra ancora lontano da approdi </w:t>
      </w:r>
      <w:r w:rsidR="002E4150">
        <w:rPr>
          <w:sz w:val="28"/>
          <w:szCs w:val="28"/>
        </w:rPr>
        <w:t xml:space="preserve">risolutivi </w:t>
      </w:r>
      <w:r w:rsidR="0057519B">
        <w:rPr>
          <w:sz w:val="28"/>
          <w:szCs w:val="28"/>
        </w:rPr>
        <w:t xml:space="preserve">. La formazione  in questo campo dovrebbe quindi offrire  agli insegnanti </w:t>
      </w:r>
      <w:r w:rsidR="008E7EDD">
        <w:rPr>
          <w:sz w:val="28"/>
          <w:szCs w:val="28"/>
        </w:rPr>
        <w:t>una conoscenza di base</w:t>
      </w:r>
      <w:r w:rsidR="0057519B">
        <w:rPr>
          <w:sz w:val="28"/>
          <w:szCs w:val="28"/>
        </w:rPr>
        <w:t xml:space="preserve"> a proposito di multiculturalismo  e di interculturalità in campo </w:t>
      </w:r>
      <w:r w:rsidR="001C1D68">
        <w:rPr>
          <w:sz w:val="28"/>
          <w:szCs w:val="28"/>
        </w:rPr>
        <w:t xml:space="preserve">sociale ed </w:t>
      </w:r>
      <w:r w:rsidR="0057519B">
        <w:rPr>
          <w:sz w:val="28"/>
          <w:szCs w:val="28"/>
        </w:rPr>
        <w:t>educativo;  sviluppare</w:t>
      </w:r>
      <w:r w:rsidR="002E4150">
        <w:rPr>
          <w:sz w:val="28"/>
          <w:szCs w:val="28"/>
        </w:rPr>
        <w:t xml:space="preserve"> l’idea che le  differenze culturali non sono e non danno necessariamente luogo a identità auto consistenti, statiche, prive di evoluzione ; favorire un approccio pedagogico  disponibile all’ascolto e </w:t>
      </w:r>
      <w:r w:rsidR="009A2DBB">
        <w:rPr>
          <w:sz w:val="28"/>
          <w:szCs w:val="28"/>
        </w:rPr>
        <w:t xml:space="preserve">alla valorizzazione di ciò che rende ognuno uguale e diverso dagli altri ;  promuovere </w:t>
      </w:r>
      <w:r w:rsidR="002E4150">
        <w:rPr>
          <w:sz w:val="28"/>
          <w:szCs w:val="28"/>
        </w:rPr>
        <w:t>un insegnamento  capace di evitare</w:t>
      </w:r>
      <w:r w:rsidR="001C1D68">
        <w:rPr>
          <w:sz w:val="28"/>
          <w:szCs w:val="28"/>
        </w:rPr>
        <w:t xml:space="preserve"> </w:t>
      </w:r>
      <w:r w:rsidR="002E4150">
        <w:rPr>
          <w:sz w:val="28"/>
          <w:szCs w:val="28"/>
        </w:rPr>
        <w:t xml:space="preserve"> l’</w:t>
      </w:r>
      <w:r w:rsidR="009A2DBB">
        <w:rPr>
          <w:sz w:val="28"/>
          <w:szCs w:val="28"/>
        </w:rPr>
        <w:t>etnocentrismo  e</w:t>
      </w:r>
      <w:r w:rsidR="008E7EDD">
        <w:rPr>
          <w:sz w:val="28"/>
          <w:szCs w:val="28"/>
        </w:rPr>
        <w:t xml:space="preserve"> di supportare con </w:t>
      </w:r>
      <w:r w:rsidR="009A2DBB">
        <w:rPr>
          <w:sz w:val="28"/>
          <w:szCs w:val="28"/>
        </w:rPr>
        <w:t xml:space="preserve">gli strumenti culturali offerti dalle diverse discipline </w:t>
      </w:r>
      <w:r w:rsidR="008E7EDD">
        <w:rPr>
          <w:sz w:val="28"/>
          <w:szCs w:val="28"/>
        </w:rPr>
        <w:t xml:space="preserve">la conoscenza e la relazione tra “diversi” che si realizza spontaneamente nelle aule multiculturali. </w:t>
      </w:r>
    </w:p>
    <w:p w:rsidR="00CF58B3" w:rsidRDefault="008F1D25" w:rsidP="00CF58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5779B">
        <w:rPr>
          <w:sz w:val="28"/>
          <w:szCs w:val="28"/>
        </w:rPr>
        <w:t xml:space="preserve"> </w:t>
      </w:r>
      <w:r w:rsidR="00CF58B3" w:rsidRPr="00247D61">
        <w:rPr>
          <w:b/>
          <w:sz w:val="28"/>
          <w:szCs w:val="28"/>
        </w:rPr>
        <w:t xml:space="preserve">La formazione </w:t>
      </w:r>
      <w:r w:rsidR="00CF58B3">
        <w:rPr>
          <w:b/>
          <w:sz w:val="28"/>
          <w:szCs w:val="28"/>
        </w:rPr>
        <w:t>dei dirigenti scolastici</w:t>
      </w:r>
    </w:p>
    <w:p w:rsidR="00313518" w:rsidRDefault="00C41783" w:rsidP="00C87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L’integrazione scolastica degli studenti </w:t>
      </w:r>
      <w:r w:rsidR="00C878E2">
        <w:rPr>
          <w:sz w:val="28"/>
          <w:szCs w:val="28"/>
        </w:rPr>
        <w:t>di cittadinanza non italiana</w:t>
      </w:r>
      <w:r>
        <w:rPr>
          <w:sz w:val="28"/>
          <w:szCs w:val="28"/>
        </w:rPr>
        <w:t xml:space="preserve"> ha</w:t>
      </w:r>
      <w:r w:rsidR="00322B2C">
        <w:rPr>
          <w:sz w:val="28"/>
          <w:szCs w:val="28"/>
        </w:rPr>
        <w:t xml:space="preserve"> il</w:t>
      </w:r>
      <w:r>
        <w:rPr>
          <w:sz w:val="28"/>
          <w:szCs w:val="28"/>
        </w:rPr>
        <w:t xml:space="preserve"> suo fondamento costituzionale negli articoli 6 (tutela delle minoranze linguistiche), 8 (libertà religiosa) e 34 (diritto universalistico all'istruzione)  della nostra Carta.  </w:t>
      </w:r>
      <w:r w:rsidR="00B0648B">
        <w:rPr>
          <w:sz w:val="28"/>
          <w:szCs w:val="28"/>
        </w:rPr>
        <w:t>Il dirigente scolastico</w:t>
      </w:r>
      <w:r w:rsidR="000805A2">
        <w:rPr>
          <w:sz w:val="28"/>
          <w:szCs w:val="28"/>
        </w:rPr>
        <w:t xml:space="preserve"> </w:t>
      </w:r>
      <w:r w:rsidR="007957FA">
        <w:rPr>
          <w:sz w:val="28"/>
          <w:szCs w:val="28"/>
        </w:rPr>
        <w:t>nella sua funzione</w:t>
      </w:r>
      <w:r w:rsidR="00573747">
        <w:rPr>
          <w:sz w:val="28"/>
          <w:szCs w:val="28"/>
        </w:rPr>
        <w:t xml:space="preserve"> (contrattualmente definita)</w:t>
      </w:r>
      <w:r w:rsidR="007957FA">
        <w:rPr>
          <w:sz w:val="28"/>
          <w:szCs w:val="28"/>
        </w:rPr>
        <w:t xml:space="preserve"> di promozione dei </w:t>
      </w:r>
      <w:r w:rsidR="00B0648B">
        <w:rPr>
          <w:sz w:val="28"/>
          <w:szCs w:val="28"/>
        </w:rPr>
        <w:t>diritti costituzionalmente tutelati</w:t>
      </w:r>
      <w:r w:rsidR="007957FA">
        <w:rPr>
          <w:sz w:val="28"/>
          <w:szCs w:val="28"/>
        </w:rPr>
        <w:t xml:space="preserve"> ha il compito </w:t>
      </w:r>
      <w:r w:rsidR="00B0648B">
        <w:rPr>
          <w:sz w:val="28"/>
          <w:szCs w:val="28"/>
        </w:rPr>
        <w:t xml:space="preserve">di </w:t>
      </w:r>
      <w:r>
        <w:rPr>
          <w:sz w:val="28"/>
          <w:szCs w:val="28"/>
        </w:rPr>
        <w:t>garantire</w:t>
      </w:r>
      <w:r w:rsidR="00B0648B">
        <w:rPr>
          <w:sz w:val="28"/>
          <w:szCs w:val="28"/>
        </w:rPr>
        <w:t xml:space="preserve"> sul piano amministrativo e organizzativo didattico </w:t>
      </w:r>
      <w:r>
        <w:rPr>
          <w:sz w:val="28"/>
          <w:szCs w:val="28"/>
        </w:rPr>
        <w:t>la qualità del</w:t>
      </w:r>
      <w:r w:rsidR="007957FA">
        <w:rPr>
          <w:sz w:val="28"/>
          <w:szCs w:val="28"/>
        </w:rPr>
        <w:t xml:space="preserve">l'integrazione di tali studenti, siano essi apprendenti in età scolare o adulti. </w:t>
      </w:r>
    </w:p>
    <w:p w:rsidR="00C878E2" w:rsidRDefault="00D54B93" w:rsidP="00C87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principali </w:t>
      </w:r>
      <w:r w:rsidR="00313518">
        <w:rPr>
          <w:sz w:val="28"/>
          <w:szCs w:val="28"/>
        </w:rPr>
        <w:t xml:space="preserve"> </w:t>
      </w:r>
      <w:r w:rsidR="00C878E2">
        <w:rPr>
          <w:sz w:val="28"/>
          <w:szCs w:val="28"/>
        </w:rPr>
        <w:t>campi</w:t>
      </w:r>
      <w:r w:rsidR="00313518">
        <w:rPr>
          <w:sz w:val="28"/>
          <w:szCs w:val="28"/>
        </w:rPr>
        <w:t xml:space="preserve"> di formazione</w:t>
      </w:r>
      <w:r>
        <w:rPr>
          <w:sz w:val="28"/>
          <w:szCs w:val="28"/>
        </w:rPr>
        <w:t xml:space="preserve"> sono cinque:</w:t>
      </w:r>
    </w:p>
    <w:p w:rsidR="00C878E2" w:rsidRDefault="00C878E2" w:rsidP="00C878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322B2C">
        <w:rPr>
          <w:i/>
          <w:sz w:val="28"/>
          <w:szCs w:val="28"/>
          <w:u w:val="single"/>
        </w:rPr>
        <w:t>primo campo</w:t>
      </w:r>
      <w:r w:rsidR="00685982">
        <w:rPr>
          <w:sz w:val="28"/>
          <w:szCs w:val="28"/>
        </w:rPr>
        <w:t xml:space="preserve"> di formazione </w:t>
      </w:r>
      <w:r w:rsidR="006E058E">
        <w:rPr>
          <w:sz w:val="28"/>
          <w:szCs w:val="28"/>
        </w:rPr>
        <w:t xml:space="preserve">riguarda </w:t>
      </w:r>
      <w:r w:rsidR="00685982">
        <w:rPr>
          <w:sz w:val="28"/>
          <w:szCs w:val="28"/>
        </w:rPr>
        <w:t>l'acquisizione di competenze</w:t>
      </w:r>
      <w:r>
        <w:rPr>
          <w:sz w:val="28"/>
          <w:szCs w:val="28"/>
        </w:rPr>
        <w:t xml:space="preserve"> </w:t>
      </w:r>
      <w:r w:rsidR="00685982">
        <w:rPr>
          <w:sz w:val="28"/>
          <w:szCs w:val="28"/>
        </w:rPr>
        <w:t>di tipo</w:t>
      </w:r>
      <w:r>
        <w:rPr>
          <w:sz w:val="28"/>
          <w:szCs w:val="28"/>
        </w:rPr>
        <w:t xml:space="preserve"> </w:t>
      </w:r>
      <w:r w:rsidR="00685982">
        <w:rPr>
          <w:sz w:val="28"/>
          <w:szCs w:val="28"/>
        </w:rPr>
        <w:t xml:space="preserve">giuridico e </w:t>
      </w:r>
      <w:r>
        <w:rPr>
          <w:sz w:val="28"/>
          <w:szCs w:val="28"/>
        </w:rPr>
        <w:t>amministrativ</w:t>
      </w:r>
      <w:r w:rsidR="00313518">
        <w:rPr>
          <w:sz w:val="28"/>
          <w:szCs w:val="28"/>
        </w:rPr>
        <w:t>o</w:t>
      </w:r>
      <w:r w:rsidR="006E058E">
        <w:rPr>
          <w:sz w:val="28"/>
          <w:szCs w:val="28"/>
        </w:rPr>
        <w:t xml:space="preserve"> legate all'analisi </w:t>
      </w:r>
      <w:r w:rsidR="00313518">
        <w:rPr>
          <w:sz w:val="28"/>
          <w:szCs w:val="28"/>
        </w:rPr>
        <w:t xml:space="preserve"> </w:t>
      </w:r>
      <w:r w:rsidR="006E058E">
        <w:rPr>
          <w:sz w:val="28"/>
          <w:szCs w:val="28"/>
        </w:rPr>
        <w:t>del</w:t>
      </w:r>
      <w:r w:rsidR="00313518">
        <w:rPr>
          <w:sz w:val="28"/>
          <w:szCs w:val="28"/>
        </w:rPr>
        <w:t>le</w:t>
      </w:r>
      <w:r w:rsidR="00685982" w:rsidRPr="00313518">
        <w:rPr>
          <w:sz w:val="28"/>
          <w:szCs w:val="28"/>
        </w:rPr>
        <w:t xml:space="preserve"> norme relative al diritto all’istruzione degli studenti stranieri nel quadro della legislazione italiana sull’imm</w:t>
      </w:r>
      <w:r w:rsidR="006E058E">
        <w:rPr>
          <w:sz w:val="28"/>
          <w:szCs w:val="28"/>
        </w:rPr>
        <w:t>igrazione e sulla cittadinanza e al</w:t>
      </w:r>
      <w:r w:rsidR="00313518">
        <w:rPr>
          <w:sz w:val="28"/>
          <w:szCs w:val="28"/>
        </w:rPr>
        <w:t>le tematiche amministrative legate</w:t>
      </w:r>
      <w:r w:rsidR="006E058E">
        <w:rPr>
          <w:sz w:val="28"/>
          <w:szCs w:val="28"/>
        </w:rPr>
        <w:t xml:space="preserve"> alla valutazione dei titoli di </w:t>
      </w:r>
      <w:r w:rsidR="006E058E">
        <w:rPr>
          <w:sz w:val="28"/>
          <w:szCs w:val="28"/>
        </w:rPr>
        <w:lastRenderedPageBreak/>
        <w:t>studio,</w:t>
      </w:r>
      <w:r w:rsidR="00313518">
        <w:rPr>
          <w:sz w:val="28"/>
          <w:szCs w:val="28"/>
        </w:rPr>
        <w:t xml:space="preserve"> all'</w:t>
      </w:r>
      <w:r>
        <w:rPr>
          <w:sz w:val="28"/>
          <w:szCs w:val="28"/>
        </w:rPr>
        <w:t>iscrizione,</w:t>
      </w:r>
      <w:r w:rsidR="00313518">
        <w:rPr>
          <w:sz w:val="28"/>
          <w:szCs w:val="28"/>
        </w:rPr>
        <w:t xml:space="preserve"> agli</w:t>
      </w:r>
      <w:r w:rsidR="00685982">
        <w:rPr>
          <w:sz w:val="28"/>
          <w:szCs w:val="28"/>
        </w:rPr>
        <w:t xml:space="preserve"> aspetti sanitari</w:t>
      </w:r>
      <w:r w:rsidR="00E927AF">
        <w:rPr>
          <w:sz w:val="28"/>
          <w:szCs w:val="28"/>
        </w:rPr>
        <w:t>.</w:t>
      </w:r>
      <w:r w:rsidR="00685982">
        <w:rPr>
          <w:sz w:val="28"/>
          <w:szCs w:val="28"/>
        </w:rPr>
        <w:t xml:space="preserve"> </w:t>
      </w:r>
      <w:r w:rsidR="00573747">
        <w:rPr>
          <w:sz w:val="28"/>
          <w:szCs w:val="28"/>
        </w:rPr>
        <w:t>Dal</w:t>
      </w:r>
      <w:r w:rsidR="00685982">
        <w:rPr>
          <w:sz w:val="28"/>
          <w:szCs w:val="28"/>
        </w:rPr>
        <w:t xml:space="preserve"> confronto</w:t>
      </w:r>
      <w:r w:rsidR="00573747">
        <w:rPr>
          <w:sz w:val="28"/>
          <w:szCs w:val="28"/>
        </w:rPr>
        <w:t xml:space="preserve"> tra i dirigenti scolastici può scaturire</w:t>
      </w:r>
      <w:r w:rsidR="00685982">
        <w:rPr>
          <w:sz w:val="28"/>
          <w:szCs w:val="28"/>
        </w:rPr>
        <w:t xml:space="preserve"> la condivisione </w:t>
      </w:r>
      <w:r w:rsidR="00313518">
        <w:rPr>
          <w:sz w:val="28"/>
          <w:szCs w:val="28"/>
        </w:rPr>
        <w:t>di principi e</w:t>
      </w:r>
      <w:r w:rsidR="00685982">
        <w:rPr>
          <w:sz w:val="28"/>
          <w:szCs w:val="28"/>
        </w:rPr>
        <w:t xml:space="preserve"> pratiche </w:t>
      </w:r>
      <w:r w:rsidR="00573747">
        <w:rPr>
          <w:sz w:val="28"/>
          <w:szCs w:val="28"/>
        </w:rPr>
        <w:t>che</w:t>
      </w:r>
      <w:r w:rsidR="00685982">
        <w:rPr>
          <w:sz w:val="28"/>
          <w:szCs w:val="28"/>
        </w:rPr>
        <w:t xml:space="preserve"> </w:t>
      </w:r>
      <w:r w:rsidR="00573747">
        <w:rPr>
          <w:sz w:val="28"/>
          <w:szCs w:val="28"/>
        </w:rPr>
        <w:t xml:space="preserve">scongiuri un </w:t>
      </w:r>
      <w:r w:rsidR="00685982">
        <w:rPr>
          <w:sz w:val="28"/>
          <w:szCs w:val="28"/>
        </w:rPr>
        <w:t>godimento dei diritti a macchia di leopardo</w:t>
      </w:r>
      <w:r w:rsidR="00573747">
        <w:rPr>
          <w:sz w:val="28"/>
          <w:szCs w:val="28"/>
        </w:rPr>
        <w:t>.</w:t>
      </w:r>
    </w:p>
    <w:p w:rsidR="005C586C" w:rsidRPr="005C586C" w:rsidRDefault="00636B47" w:rsidP="005C5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322B2C">
        <w:rPr>
          <w:i/>
          <w:sz w:val="28"/>
          <w:szCs w:val="28"/>
          <w:u w:val="single"/>
        </w:rPr>
        <w:t>secondo campo</w:t>
      </w:r>
      <w:r>
        <w:rPr>
          <w:sz w:val="28"/>
          <w:szCs w:val="28"/>
        </w:rPr>
        <w:t xml:space="preserve"> di formazione riguarda</w:t>
      </w:r>
      <w:r w:rsidR="00E927AF">
        <w:rPr>
          <w:sz w:val="28"/>
          <w:szCs w:val="28"/>
        </w:rPr>
        <w:t xml:space="preserve"> l'acquisizione di</w:t>
      </w:r>
      <w:r>
        <w:rPr>
          <w:sz w:val="28"/>
          <w:szCs w:val="28"/>
        </w:rPr>
        <w:t xml:space="preserve"> competenze organizzative e didattiche, che </w:t>
      </w:r>
      <w:r w:rsidR="00E927AF">
        <w:rPr>
          <w:sz w:val="28"/>
          <w:szCs w:val="28"/>
        </w:rPr>
        <w:t>consentano</w:t>
      </w:r>
      <w:r>
        <w:rPr>
          <w:sz w:val="28"/>
          <w:szCs w:val="28"/>
        </w:rPr>
        <w:t xml:space="preserve"> al dirigente di </w:t>
      </w:r>
      <w:r w:rsidR="00934A07">
        <w:rPr>
          <w:sz w:val="28"/>
          <w:szCs w:val="28"/>
        </w:rPr>
        <w:t>dare sistematicità all</w:t>
      </w:r>
      <w:r w:rsidR="003D414E">
        <w:rPr>
          <w:sz w:val="28"/>
          <w:szCs w:val="28"/>
        </w:rPr>
        <w:t>'azione di integrazione</w:t>
      </w:r>
      <w:r w:rsidR="00934A07">
        <w:rPr>
          <w:sz w:val="28"/>
          <w:szCs w:val="28"/>
        </w:rPr>
        <w:t xml:space="preserve">. E' importante a tal fine  che </w:t>
      </w:r>
      <w:r w:rsidR="00AF460F">
        <w:rPr>
          <w:sz w:val="28"/>
          <w:szCs w:val="28"/>
        </w:rPr>
        <w:t>egli</w:t>
      </w:r>
      <w:r w:rsidR="00934A07">
        <w:rPr>
          <w:sz w:val="28"/>
          <w:szCs w:val="28"/>
        </w:rPr>
        <w:t xml:space="preserve"> </w:t>
      </w:r>
      <w:r w:rsidR="003C5EDA">
        <w:rPr>
          <w:sz w:val="28"/>
          <w:szCs w:val="28"/>
        </w:rPr>
        <w:t xml:space="preserve">sappia </w:t>
      </w:r>
      <w:r w:rsidR="00573747">
        <w:rPr>
          <w:sz w:val="28"/>
          <w:szCs w:val="28"/>
        </w:rPr>
        <w:t>elaborare</w:t>
      </w:r>
      <w:r w:rsidR="00934A07">
        <w:rPr>
          <w:sz w:val="28"/>
          <w:szCs w:val="28"/>
        </w:rPr>
        <w:t xml:space="preserve"> protocolli d'azione</w:t>
      </w:r>
      <w:r w:rsidR="00573747">
        <w:rPr>
          <w:sz w:val="28"/>
          <w:szCs w:val="28"/>
        </w:rPr>
        <w:t xml:space="preserve"> con i relativi organigrammi</w:t>
      </w:r>
      <w:r w:rsidR="00934A07">
        <w:rPr>
          <w:sz w:val="28"/>
          <w:szCs w:val="28"/>
        </w:rPr>
        <w:t xml:space="preserve"> </w:t>
      </w:r>
      <w:r w:rsidR="00E927AF">
        <w:rPr>
          <w:sz w:val="28"/>
          <w:szCs w:val="28"/>
        </w:rPr>
        <w:t>per</w:t>
      </w:r>
      <w:r w:rsidR="00934A07">
        <w:rPr>
          <w:sz w:val="28"/>
          <w:szCs w:val="28"/>
        </w:rPr>
        <w:t xml:space="preserve">  governare </w:t>
      </w:r>
      <w:r w:rsidRPr="00636B47">
        <w:rPr>
          <w:sz w:val="28"/>
          <w:szCs w:val="28"/>
        </w:rPr>
        <w:t xml:space="preserve">i processi </w:t>
      </w:r>
      <w:r w:rsidR="00934A07">
        <w:rPr>
          <w:sz w:val="28"/>
          <w:szCs w:val="28"/>
        </w:rPr>
        <w:t xml:space="preserve">di integrazione dello studente di cittadinanza </w:t>
      </w:r>
      <w:r w:rsidR="00573747">
        <w:rPr>
          <w:sz w:val="28"/>
          <w:szCs w:val="28"/>
        </w:rPr>
        <w:t>non italiana. La</w:t>
      </w:r>
      <w:r w:rsidR="003D414E">
        <w:rPr>
          <w:sz w:val="28"/>
          <w:szCs w:val="28"/>
        </w:rPr>
        <w:t xml:space="preserve"> gestione organica di</w:t>
      </w:r>
      <w:r w:rsidR="00573747">
        <w:rPr>
          <w:sz w:val="28"/>
          <w:szCs w:val="28"/>
        </w:rPr>
        <w:t xml:space="preserve"> </w:t>
      </w:r>
      <w:r w:rsidR="003D414E">
        <w:rPr>
          <w:sz w:val="28"/>
          <w:szCs w:val="28"/>
        </w:rPr>
        <w:t>p</w:t>
      </w:r>
      <w:r w:rsidR="00573747">
        <w:rPr>
          <w:sz w:val="28"/>
          <w:szCs w:val="28"/>
        </w:rPr>
        <w:t xml:space="preserve">rocessi quali </w:t>
      </w:r>
      <w:r w:rsidRPr="00636B47">
        <w:rPr>
          <w:sz w:val="28"/>
          <w:szCs w:val="28"/>
        </w:rPr>
        <w:t>accoglienza,</w:t>
      </w:r>
      <w:r>
        <w:rPr>
          <w:sz w:val="28"/>
          <w:szCs w:val="28"/>
        </w:rPr>
        <w:t xml:space="preserve"> </w:t>
      </w:r>
      <w:r w:rsidR="0093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orientamento, </w:t>
      </w:r>
      <w:r w:rsidRPr="00636B47">
        <w:rPr>
          <w:sz w:val="28"/>
          <w:szCs w:val="28"/>
        </w:rPr>
        <w:t xml:space="preserve"> formazione delle classi , inserimento nella classe, monitoraggio del processo di </w:t>
      </w:r>
      <w:r w:rsidR="00573747">
        <w:rPr>
          <w:sz w:val="28"/>
          <w:szCs w:val="28"/>
        </w:rPr>
        <w:t xml:space="preserve"> integrazione e di </w:t>
      </w:r>
      <w:r w:rsidRPr="00636B47">
        <w:rPr>
          <w:sz w:val="28"/>
          <w:szCs w:val="28"/>
        </w:rPr>
        <w:t>apprendimento,</w:t>
      </w:r>
      <w:r>
        <w:rPr>
          <w:sz w:val="28"/>
          <w:szCs w:val="28"/>
        </w:rPr>
        <w:t xml:space="preserve"> </w:t>
      </w:r>
      <w:r w:rsidRPr="00636B47">
        <w:rPr>
          <w:sz w:val="28"/>
          <w:szCs w:val="28"/>
        </w:rPr>
        <w:t xml:space="preserve"> valutazione</w:t>
      </w:r>
      <w:r>
        <w:rPr>
          <w:sz w:val="28"/>
          <w:szCs w:val="28"/>
        </w:rPr>
        <w:t xml:space="preserve"> degli apprendimenti ed eventuale </w:t>
      </w:r>
      <w:proofErr w:type="spellStart"/>
      <w:r>
        <w:rPr>
          <w:sz w:val="28"/>
          <w:szCs w:val="28"/>
        </w:rPr>
        <w:t>ri</w:t>
      </w:r>
      <w:r w:rsidRPr="00636B47">
        <w:rPr>
          <w:sz w:val="28"/>
          <w:szCs w:val="28"/>
        </w:rPr>
        <w:t>orientamento</w:t>
      </w:r>
      <w:proofErr w:type="spellEnd"/>
      <w:r w:rsidR="00573747">
        <w:rPr>
          <w:sz w:val="28"/>
          <w:szCs w:val="28"/>
        </w:rPr>
        <w:t xml:space="preserve">  </w:t>
      </w:r>
      <w:r w:rsidR="003D414E">
        <w:rPr>
          <w:sz w:val="28"/>
          <w:szCs w:val="28"/>
        </w:rPr>
        <w:t xml:space="preserve"> </w:t>
      </w:r>
      <w:r w:rsidR="003C5EDA">
        <w:rPr>
          <w:sz w:val="28"/>
          <w:szCs w:val="28"/>
        </w:rPr>
        <w:t>incide</w:t>
      </w:r>
      <w:r w:rsidR="003D414E">
        <w:rPr>
          <w:sz w:val="28"/>
          <w:szCs w:val="28"/>
        </w:rPr>
        <w:t xml:space="preserve"> in maniera importante sulla qualità dell'integrazione</w:t>
      </w:r>
      <w:r w:rsidR="003C5EDA">
        <w:rPr>
          <w:sz w:val="28"/>
          <w:szCs w:val="28"/>
        </w:rPr>
        <w:t xml:space="preserve"> e </w:t>
      </w:r>
      <w:r w:rsidR="00E927AF">
        <w:rPr>
          <w:sz w:val="28"/>
          <w:szCs w:val="28"/>
        </w:rPr>
        <w:t xml:space="preserve"> </w:t>
      </w:r>
      <w:r w:rsidR="003C5EDA">
        <w:rPr>
          <w:sz w:val="28"/>
          <w:szCs w:val="28"/>
        </w:rPr>
        <w:t xml:space="preserve">fa in modo che </w:t>
      </w:r>
      <w:r w:rsidR="003C5EDA" w:rsidRPr="003C5EDA">
        <w:rPr>
          <w:sz w:val="28"/>
          <w:szCs w:val="28"/>
        </w:rPr>
        <w:t>il progetto di vita ed il progetto istituzionale della scuola</w:t>
      </w:r>
      <w:r w:rsidR="003C5EDA">
        <w:rPr>
          <w:sz w:val="28"/>
          <w:szCs w:val="28"/>
        </w:rPr>
        <w:t xml:space="preserve"> si incontrino.</w:t>
      </w:r>
    </w:p>
    <w:p w:rsidR="003C5EDA" w:rsidRDefault="003D414E" w:rsidP="003C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88483C">
        <w:rPr>
          <w:i/>
          <w:sz w:val="28"/>
          <w:szCs w:val="28"/>
          <w:u w:val="single"/>
        </w:rPr>
        <w:t>terzo campo</w:t>
      </w:r>
      <w:r>
        <w:rPr>
          <w:sz w:val="28"/>
          <w:szCs w:val="28"/>
        </w:rPr>
        <w:t xml:space="preserve"> di formazione riguarda</w:t>
      </w:r>
      <w:r w:rsidR="00083C97">
        <w:rPr>
          <w:sz w:val="28"/>
          <w:szCs w:val="28"/>
        </w:rPr>
        <w:t xml:space="preserve"> l'area relazionale. </w:t>
      </w:r>
      <w:r w:rsidR="00083C97" w:rsidRPr="00083C97">
        <w:rPr>
          <w:sz w:val="28"/>
          <w:szCs w:val="28"/>
        </w:rPr>
        <w:t>Costruire relazioni positive con le famiglie e gli studenti stranieri, promuovendo il loro coinvolgimento attivo nella vita della scuola e nelle at</w:t>
      </w:r>
      <w:r w:rsidR="00083C97">
        <w:rPr>
          <w:sz w:val="28"/>
          <w:szCs w:val="28"/>
        </w:rPr>
        <w:t>tività degli organi collegiali è operazione</w:t>
      </w:r>
      <w:r w:rsidR="005C586C">
        <w:rPr>
          <w:sz w:val="28"/>
          <w:szCs w:val="28"/>
        </w:rPr>
        <w:t xml:space="preserve"> essenziale per l'integrazione, ma di fatto, soprattutto nella scuola secondaria superiore di difficilissima realizza</w:t>
      </w:r>
      <w:r w:rsidR="00E927AF">
        <w:rPr>
          <w:sz w:val="28"/>
          <w:szCs w:val="28"/>
        </w:rPr>
        <w:t xml:space="preserve">zione. </w:t>
      </w:r>
      <w:r w:rsidR="00AF460F">
        <w:rPr>
          <w:sz w:val="28"/>
          <w:szCs w:val="28"/>
        </w:rPr>
        <w:t>Mettere a confronto le esperienze positive e negative delle scuole potrebbe consentire  di elaborare un repertorio di buone pratiche a cui i dirigenti scolastici potrebbero ispirare le loro azioni.</w:t>
      </w:r>
    </w:p>
    <w:p w:rsidR="00D54B93" w:rsidRDefault="003C5EDA" w:rsidP="00D54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88483C">
        <w:rPr>
          <w:i/>
          <w:sz w:val="28"/>
          <w:szCs w:val="28"/>
          <w:u w:val="single"/>
        </w:rPr>
        <w:t>quarto campo</w:t>
      </w:r>
      <w:r>
        <w:rPr>
          <w:sz w:val="28"/>
          <w:szCs w:val="28"/>
        </w:rPr>
        <w:t xml:space="preserve"> di formazione riguarda il r</w:t>
      </w:r>
      <w:r w:rsidR="0088483C">
        <w:rPr>
          <w:sz w:val="28"/>
          <w:szCs w:val="28"/>
        </w:rPr>
        <w:t>apporto</w:t>
      </w:r>
      <w:r w:rsidR="008D4D4F">
        <w:rPr>
          <w:sz w:val="28"/>
          <w:szCs w:val="28"/>
        </w:rPr>
        <w:t xml:space="preserve"> della scuola</w:t>
      </w:r>
      <w:r w:rsidRPr="003C5EDA">
        <w:rPr>
          <w:sz w:val="28"/>
          <w:szCs w:val="28"/>
        </w:rPr>
        <w:t xml:space="preserve"> con </w:t>
      </w:r>
      <w:r w:rsidR="008D4D4F">
        <w:rPr>
          <w:sz w:val="28"/>
          <w:szCs w:val="28"/>
        </w:rPr>
        <w:t>gli enti territoriali</w:t>
      </w:r>
      <w:r w:rsidRPr="003C5EDA">
        <w:rPr>
          <w:sz w:val="28"/>
          <w:szCs w:val="28"/>
        </w:rPr>
        <w:t>, le associazioni di migranti,</w:t>
      </w:r>
      <w:r w:rsidR="008D4D4F">
        <w:rPr>
          <w:sz w:val="28"/>
          <w:szCs w:val="28"/>
        </w:rPr>
        <w:t xml:space="preserve"> associazioni del terzo settore, </w:t>
      </w:r>
      <w:r w:rsidRPr="003C5EDA">
        <w:rPr>
          <w:sz w:val="28"/>
          <w:szCs w:val="28"/>
        </w:rPr>
        <w:t xml:space="preserve"> ASL,</w:t>
      </w:r>
      <w:r>
        <w:rPr>
          <w:sz w:val="28"/>
          <w:szCs w:val="28"/>
        </w:rPr>
        <w:t xml:space="preserve"> </w:t>
      </w:r>
      <w:r w:rsidRPr="003C5EDA">
        <w:rPr>
          <w:sz w:val="28"/>
          <w:szCs w:val="28"/>
        </w:rPr>
        <w:t xml:space="preserve"> centri </w:t>
      </w:r>
      <w:r w:rsidR="008D4D4F">
        <w:rPr>
          <w:sz w:val="28"/>
          <w:szCs w:val="28"/>
        </w:rPr>
        <w:t>per l’impiego e gli strumenti amministrativi che danno veste giuridica a tali rapporti (accordo di rete, protocollo di intesa, convenzioni, etc... ). Relativamente a</w:t>
      </w:r>
      <w:r>
        <w:rPr>
          <w:sz w:val="28"/>
          <w:szCs w:val="28"/>
        </w:rPr>
        <w:t xml:space="preserve"> questo aspetto è importante</w:t>
      </w:r>
      <w:r w:rsidR="00D54B93">
        <w:rPr>
          <w:sz w:val="28"/>
          <w:szCs w:val="28"/>
        </w:rPr>
        <w:t xml:space="preserve"> che si presti adeguata attenzione a</w:t>
      </w:r>
      <w:r w:rsidR="008D4D4F">
        <w:rPr>
          <w:sz w:val="28"/>
          <w:szCs w:val="28"/>
        </w:rPr>
        <w:t>l processo di documentazione.</w:t>
      </w:r>
      <w:r>
        <w:rPr>
          <w:sz w:val="28"/>
          <w:szCs w:val="28"/>
        </w:rPr>
        <w:t xml:space="preserve"> </w:t>
      </w:r>
      <w:r w:rsidR="008D4D4F">
        <w:rPr>
          <w:sz w:val="28"/>
          <w:szCs w:val="28"/>
        </w:rPr>
        <w:t>I</w:t>
      </w:r>
      <w:r>
        <w:rPr>
          <w:sz w:val="28"/>
          <w:szCs w:val="28"/>
        </w:rPr>
        <w:t xml:space="preserve"> materiali</w:t>
      </w:r>
      <w:r w:rsidR="008D4D4F">
        <w:rPr>
          <w:sz w:val="28"/>
          <w:szCs w:val="28"/>
        </w:rPr>
        <w:t xml:space="preserve"> realizzati dalle scuole </w:t>
      </w:r>
      <w:r>
        <w:rPr>
          <w:sz w:val="28"/>
          <w:szCs w:val="28"/>
        </w:rPr>
        <w:t xml:space="preserve"> </w:t>
      </w:r>
      <w:r w:rsidR="008D4D4F">
        <w:rPr>
          <w:sz w:val="28"/>
          <w:szCs w:val="28"/>
        </w:rPr>
        <w:t>devono essere inseriti in una raccolta strutturata sul modello di "Protocolli in rete".</w:t>
      </w:r>
    </w:p>
    <w:p w:rsidR="00D54B93" w:rsidRDefault="008D4D4F" w:rsidP="00D54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88483C">
        <w:rPr>
          <w:i/>
          <w:sz w:val="28"/>
          <w:szCs w:val="28"/>
          <w:u w:val="single"/>
        </w:rPr>
        <w:t>quinto campo</w:t>
      </w:r>
      <w:r>
        <w:rPr>
          <w:sz w:val="28"/>
          <w:szCs w:val="28"/>
        </w:rPr>
        <w:t xml:space="preserve"> di formazione riguarda l'</w:t>
      </w:r>
      <w:r w:rsidRPr="008D4D4F">
        <w:rPr>
          <w:sz w:val="28"/>
          <w:szCs w:val="28"/>
        </w:rPr>
        <w:t xml:space="preserve"> autovalutazione dei processi interculturali come strategia di riflessione e miglioramento.</w:t>
      </w:r>
      <w:r w:rsidR="00D54B93">
        <w:rPr>
          <w:sz w:val="28"/>
          <w:szCs w:val="28"/>
        </w:rPr>
        <w:t xml:space="preserve"> E' importante integrare il  RAV con indicatori che</w:t>
      </w:r>
      <w:r w:rsidR="0016297B">
        <w:rPr>
          <w:sz w:val="28"/>
          <w:szCs w:val="28"/>
        </w:rPr>
        <w:t xml:space="preserve"> misurino l'efficacia dell'attività didattica interculturale. Occorre, poi, riflettere  sul modo di</w:t>
      </w:r>
      <w:r w:rsidR="00D54B93">
        <w:rPr>
          <w:sz w:val="28"/>
          <w:szCs w:val="28"/>
        </w:rPr>
        <w:t xml:space="preserve"> coniugare le azioni relative al rapporto di autovalutazione e</w:t>
      </w:r>
      <w:r w:rsidR="0016297B">
        <w:rPr>
          <w:sz w:val="28"/>
          <w:szCs w:val="28"/>
        </w:rPr>
        <w:t>d</w:t>
      </w:r>
      <w:r w:rsidR="00D54B93">
        <w:rPr>
          <w:sz w:val="28"/>
          <w:szCs w:val="28"/>
        </w:rPr>
        <w:t xml:space="preserve"> al piano di miglioramento d'istituto con SNV ed</w:t>
      </w:r>
      <w:r w:rsidR="0016297B">
        <w:rPr>
          <w:sz w:val="28"/>
          <w:szCs w:val="28"/>
        </w:rPr>
        <w:t xml:space="preserve"> esiti prove nazionali INVALSI.</w:t>
      </w:r>
    </w:p>
    <w:p w:rsidR="0016297B" w:rsidRPr="0016297B" w:rsidRDefault="0016297B" w:rsidP="0016297B">
      <w:pPr>
        <w:jc w:val="both"/>
        <w:rPr>
          <w:b/>
          <w:sz w:val="28"/>
          <w:szCs w:val="28"/>
        </w:rPr>
      </w:pPr>
      <w:r w:rsidRPr="0016297B">
        <w:rPr>
          <w:b/>
          <w:sz w:val="28"/>
          <w:szCs w:val="28"/>
        </w:rPr>
        <w:t xml:space="preserve">3. Educazione/istruzione degli adulti e utenti stranieri   </w:t>
      </w:r>
    </w:p>
    <w:p w:rsidR="00547E19" w:rsidRDefault="0016297B" w:rsidP="00547E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Nella fase attuale di transizione dall’educazione all’istruzione degli adulti ( dai CTP ai CPIA </w:t>
      </w:r>
      <w:r w:rsidR="00D81DB2">
        <w:rPr>
          <w:sz w:val="28"/>
          <w:szCs w:val="28"/>
        </w:rPr>
        <w:t>, dai corsi serali alle scuole secondarie superiori presso cui sono incardinati i corsi di secondo  livello</w:t>
      </w:r>
      <w:r>
        <w:rPr>
          <w:sz w:val="28"/>
          <w:szCs w:val="28"/>
        </w:rPr>
        <w:t>)</w:t>
      </w:r>
      <w:r w:rsidR="00D81DB2">
        <w:rPr>
          <w:sz w:val="28"/>
          <w:szCs w:val="28"/>
        </w:rPr>
        <w:t xml:space="preserve"> è fondamentale la formazione degli insegnanti dei CPIA</w:t>
      </w:r>
      <w:r w:rsidR="00EF3228">
        <w:rPr>
          <w:sz w:val="28"/>
          <w:szCs w:val="28"/>
        </w:rPr>
        <w:t xml:space="preserve"> e delle istituzioni secondarie di secondo grado presso cui sono incardinati i percorsi di secondo livello</w:t>
      </w:r>
      <w:r w:rsidR="00D81DB2">
        <w:rPr>
          <w:sz w:val="28"/>
          <w:szCs w:val="28"/>
        </w:rPr>
        <w:t xml:space="preserve">, dei dirigenti scolastici  dei CPIA e delle istituzioni secondarie di secondo grado presso cui sono incardinati i percorsi di secondo livello. </w:t>
      </w:r>
      <w:r w:rsidR="00EF3228">
        <w:rPr>
          <w:sz w:val="28"/>
          <w:szCs w:val="28"/>
        </w:rPr>
        <w:t>E' necessario il coinvolgimento</w:t>
      </w:r>
      <w:r w:rsidR="00802F20">
        <w:rPr>
          <w:sz w:val="28"/>
          <w:szCs w:val="28"/>
        </w:rPr>
        <w:t xml:space="preserve"> di tutti questi soggetti perché si abbia nei territori di riferimento di ogni CPIA un'offerta formativa organica e coerente. </w:t>
      </w:r>
      <w:r w:rsidR="005D13F0">
        <w:rPr>
          <w:sz w:val="28"/>
          <w:szCs w:val="28"/>
        </w:rPr>
        <w:t>Nei territori</w:t>
      </w:r>
      <w:r w:rsidR="00802F20">
        <w:rPr>
          <w:sz w:val="28"/>
          <w:szCs w:val="28"/>
        </w:rPr>
        <w:t xml:space="preserve"> CPIA </w:t>
      </w:r>
      <w:r w:rsidR="005D13F0">
        <w:rPr>
          <w:sz w:val="28"/>
          <w:szCs w:val="28"/>
        </w:rPr>
        <w:t xml:space="preserve">e </w:t>
      </w:r>
      <w:r w:rsidR="00802F20">
        <w:rPr>
          <w:sz w:val="28"/>
          <w:szCs w:val="28"/>
        </w:rPr>
        <w:t xml:space="preserve">istituzioni secondarie di secondo grado presso cui sono incardinati i percorsi di secondo livello </w:t>
      </w:r>
      <w:r w:rsidR="005D13F0">
        <w:rPr>
          <w:sz w:val="28"/>
          <w:szCs w:val="28"/>
        </w:rPr>
        <w:t>sono in rete e collaborano per accogliere gli adulti stranieri, orientarli e dare risposta ai loro bisogni formativi</w:t>
      </w:r>
      <w:r w:rsidR="00E35D7B">
        <w:rPr>
          <w:sz w:val="28"/>
          <w:szCs w:val="28"/>
        </w:rPr>
        <w:t>;</w:t>
      </w:r>
      <w:r w:rsidR="005D13F0">
        <w:rPr>
          <w:sz w:val="28"/>
          <w:szCs w:val="28"/>
        </w:rPr>
        <w:t xml:space="preserve"> insegnanti dei CPIA lavorano insieme a quelli della scuola secondaria per costruire percorsi integrati</w:t>
      </w:r>
      <w:r w:rsidR="00E35D7B">
        <w:rPr>
          <w:sz w:val="28"/>
          <w:szCs w:val="28"/>
        </w:rPr>
        <w:t>. Tali reti sono</w:t>
      </w:r>
      <w:r w:rsidR="005D13F0">
        <w:rPr>
          <w:sz w:val="28"/>
          <w:szCs w:val="28"/>
        </w:rPr>
        <w:t xml:space="preserve"> </w:t>
      </w:r>
      <w:r w:rsidR="00802F20">
        <w:rPr>
          <w:sz w:val="28"/>
          <w:szCs w:val="28"/>
        </w:rPr>
        <w:t xml:space="preserve">lo scheletro delle costituende reti per l'apprendimento permanente. </w:t>
      </w:r>
      <w:r w:rsidR="00E35D7B">
        <w:rPr>
          <w:sz w:val="28"/>
          <w:szCs w:val="28"/>
        </w:rPr>
        <w:t>N</w:t>
      </w:r>
      <w:r w:rsidR="00802F20">
        <w:rPr>
          <w:sz w:val="28"/>
          <w:szCs w:val="28"/>
        </w:rPr>
        <w:t xml:space="preserve">ei territori </w:t>
      </w:r>
      <w:r w:rsidR="00E35D7B">
        <w:rPr>
          <w:sz w:val="28"/>
          <w:szCs w:val="28"/>
        </w:rPr>
        <w:t xml:space="preserve">le </w:t>
      </w:r>
      <w:r w:rsidR="00802F20">
        <w:rPr>
          <w:sz w:val="28"/>
          <w:szCs w:val="28"/>
        </w:rPr>
        <w:t xml:space="preserve">reti di scuole (CPIA e istituzioni secondarie di secondo grado) </w:t>
      </w:r>
      <w:r w:rsidR="00E35D7B">
        <w:rPr>
          <w:sz w:val="28"/>
          <w:szCs w:val="28"/>
        </w:rPr>
        <w:t>fanno a loro volta</w:t>
      </w:r>
      <w:r w:rsidR="00802F20">
        <w:rPr>
          <w:sz w:val="28"/>
          <w:szCs w:val="28"/>
        </w:rPr>
        <w:t xml:space="preserve"> rete con gli enti territoriali e locali, i centri per l'impiego, le associazioni di</w:t>
      </w:r>
      <w:r w:rsidR="005D13F0">
        <w:rPr>
          <w:sz w:val="28"/>
          <w:szCs w:val="28"/>
        </w:rPr>
        <w:t xml:space="preserve"> migranti, </w:t>
      </w:r>
      <w:r w:rsidR="0088483C">
        <w:rPr>
          <w:sz w:val="28"/>
          <w:szCs w:val="28"/>
        </w:rPr>
        <w:t xml:space="preserve">il privato sociale, le </w:t>
      </w:r>
      <w:r w:rsidR="005D13F0">
        <w:rPr>
          <w:sz w:val="28"/>
          <w:szCs w:val="28"/>
        </w:rPr>
        <w:t>aziende  per dare</w:t>
      </w:r>
      <w:r w:rsidR="00E35D7B">
        <w:rPr>
          <w:sz w:val="28"/>
          <w:szCs w:val="28"/>
        </w:rPr>
        <w:t>,</w:t>
      </w:r>
      <w:r w:rsidR="005D13F0">
        <w:rPr>
          <w:sz w:val="28"/>
          <w:szCs w:val="28"/>
        </w:rPr>
        <w:t xml:space="preserve"> </w:t>
      </w:r>
      <w:r w:rsidR="00E35D7B">
        <w:rPr>
          <w:sz w:val="28"/>
          <w:szCs w:val="28"/>
        </w:rPr>
        <w:t xml:space="preserve">da un lato, </w:t>
      </w:r>
      <w:r w:rsidR="005D13F0">
        <w:rPr>
          <w:sz w:val="28"/>
          <w:szCs w:val="28"/>
        </w:rPr>
        <w:t xml:space="preserve">risposta ai bisogni formativi degli </w:t>
      </w:r>
      <w:r w:rsidR="00E35D7B">
        <w:rPr>
          <w:sz w:val="28"/>
          <w:szCs w:val="28"/>
        </w:rPr>
        <w:t>adulti</w:t>
      </w:r>
      <w:r w:rsidR="005D13F0">
        <w:rPr>
          <w:sz w:val="28"/>
          <w:szCs w:val="28"/>
        </w:rPr>
        <w:t xml:space="preserve"> </w:t>
      </w:r>
      <w:r w:rsidR="00E35D7B">
        <w:rPr>
          <w:sz w:val="28"/>
          <w:szCs w:val="28"/>
        </w:rPr>
        <w:t xml:space="preserve">e, dall'altro, </w:t>
      </w:r>
      <w:r w:rsidR="0088483C">
        <w:rPr>
          <w:sz w:val="28"/>
          <w:szCs w:val="28"/>
        </w:rPr>
        <w:t xml:space="preserve">per </w:t>
      </w:r>
      <w:r w:rsidR="00E35D7B">
        <w:rPr>
          <w:sz w:val="28"/>
          <w:szCs w:val="28"/>
        </w:rPr>
        <w:t xml:space="preserve">accompagnarne </w:t>
      </w:r>
      <w:r w:rsidR="0088483C">
        <w:rPr>
          <w:sz w:val="28"/>
          <w:szCs w:val="28"/>
        </w:rPr>
        <w:t xml:space="preserve">l’ingresso o </w:t>
      </w:r>
      <w:r w:rsidR="00E35D7B">
        <w:rPr>
          <w:sz w:val="28"/>
          <w:szCs w:val="28"/>
        </w:rPr>
        <w:t>il rientro nel mondo del lavoro.</w:t>
      </w:r>
    </w:p>
    <w:p w:rsidR="00162AAA" w:rsidRPr="00547E19" w:rsidRDefault="0088483C" w:rsidP="0054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tale contesto i </w:t>
      </w:r>
      <w:r w:rsidR="00162AAA" w:rsidRPr="00547E19">
        <w:rPr>
          <w:sz w:val="28"/>
          <w:szCs w:val="28"/>
        </w:rPr>
        <w:t xml:space="preserve"> punti nodali della formazione appaiono essere i seguenti:</w:t>
      </w:r>
    </w:p>
    <w:p w:rsidR="00162AAA" w:rsidRPr="00547E19" w:rsidRDefault="00162AAA" w:rsidP="00547E19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 w:rsidRPr="00547E19">
        <w:rPr>
          <w:sz w:val="28"/>
          <w:szCs w:val="28"/>
        </w:rPr>
        <w:t xml:space="preserve">costruzione di accordi di rete tra CPIA e scuole secondarie per l'elaborazione di un'offerta formativa territoriale integrata; </w:t>
      </w:r>
    </w:p>
    <w:p w:rsidR="00162AAA" w:rsidRPr="00547E19" w:rsidRDefault="00162AAA" w:rsidP="00547E19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 w:rsidRPr="00547E19">
        <w:rPr>
          <w:sz w:val="28"/>
          <w:szCs w:val="28"/>
        </w:rPr>
        <w:t>gestione condivisa nella rete del processo di accoglienza e orientamento in ingresso e uscita;</w:t>
      </w:r>
    </w:p>
    <w:p w:rsidR="00162AAA" w:rsidRDefault="00162AAA" w:rsidP="00547E19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 w:rsidRPr="00547E19">
        <w:rPr>
          <w:sz w:val="28"/>
          <w:szCs w:val="28"/>
        </w:rPr>
        <w:t>modalità di riconoscimento dei crediti informali e non formali e possibile abbreviamento del percorso di studio;</w:t>
      </w:r>
    </w:p>
    <w:p w:rsidR="00162AAA" w:rsidRPr="00547E19" w:rsidRDefault="00162AAA" w:rsidP="00547E19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 w:rsidRPr="00547E19">
        <w:rPr>
          <w:sz w:val="28"/>
          <w:szCs w:val="28"/>
        </w:rPr>
        <w:t>modalità</w:t>
      </w:r>
      <w:r w:rsidR="00547E19" w:rsidRPr="00547E19">
        <w:rPr>
          <w:sz w:val="28"/>
          <w:szCs w:val="28"/>
        </w:rPr>
        <w:t xml:space="preserve"> </w:t>
      </w:r>
      <w:r w:rsidRPr="00547E19">
        <w:rPr>
          <w:sz w:val="28"/>
          <w:szCs w:val="28"/>
        </w:rPr>
        <w:t xml:space="preserve"> di elaborazione del patto formativo</w:t>
      </w:r>
      <w:r w:rsidR="00547E19" w:rsidRPr="00547E19">
        <w:rPr>
          <w:sz w:val="28"/>
          <w:szCs w:val="28"/>
        </w:rPr>
        <w:t>;</w:t>
      </w:r>
    </w:p>
    <w:p w:rsidR="00547E19" w:rsidRDefault="00547E19" w:rsidP="00547E19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costruzione di reti per l'apprendimento permanente</w:t>
      </w:r>
      <w:r w:rsidR="005440BC">
        <w:rPr>
          <w:sz w:val="28"/>
          <w:szCs w:val="28"/>
        </w:rPr>
        <w:t>;</w:t>
      </w:r>
    </w:p>
    <w:p w:rsidR="005440BC" w:rsidRPr="00547E19" w:rsidRDefault="005440BC" w:rsidP="005440BC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progettazione dei percorsi disciplinari per unità di apprendimento temporizzate;</w:t>
      </w:r>
    </w:p>
    <w:p w:rsidR="005440BC" w:rsidRPr="00547E19" w:rsidRDefault="005440BC" w:rsidP="00547E19">
      <w:pPr>
        <w:pStyle w:val="Paragrafoelenco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costruire l'apprendimento a distanza con la piattaforma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canvas</w:t>
      </w:r>
      <w:proofErr w:type="spellEnd"/>
      <w:r>
        <w:rPr>
          <w:sz w:val="28"/>
          <w:szCs w:val="28"/>
        </w:rPr>
        <w:t>.</w:t>
      </w:r>
    </w:p>
    <w:p w:rsidR="00547E19" w:rsidRDefault="00547E19" w:rsidP="00547E19">
      <w:pPr>
        <w:pStyle w:val="Paragrafoelenco"/>
        <w:ind w:left="426"/>
        <w:jc w:val="both"/>
        <w:rPr>
          <w:sz w:val="28"/>
          <w:szCs w:val="28"/>
        </w:rPr>
      </w:pPr>
    </w:p>
    <w:p w:rsidR="00547E19" w:rsidRDefault="00547E19" w:rsidP="00547E19">
      <w:pPr>
        <w:pStyle w:val="Paragrafoelenco"/>
        <w:ind w:left="0"/>
        <w:jc w:val="both"/>
        <w:rPr>
          <w:sz w:val="28"/>
          <w:szCs w:val="28"/>
        </w:rPr>
      </w:pPr>
    </w:p>
    <w:p w:rsidR="00E35D7B" w:rsidRPr="005D4BCE" w:rsidRDefault="00E35D7B" w:rsidP="005D4BCE">
      <w:pPr>
        <w:jc w:val="both"/>
        <w:rPr>
          <w:sz w:val="28"/>
          <w:szCs w:val="28"/>
        </w:rPr>
      </w:pPr>
    </w:p>
    <w:p w:rsidR="00E35D7B" w:rsidRPr="005D4BCE" w:rsidRDefault="00E35D7B" w:rsidP="005D4BCE">
      <w:pPr>
        <w:jc w:val="both"/>
        <w:rPr>
          <w:sz w:val="28"/>
          <w:szCs w:val="28"/>
        </w:rPr>
      </w:pPr>
    </w:p>
    <w:p w:rsidR="00E35D7B" w:rsidRPr="005D4BCE" w:rsidRDefault="00E35D7B" w:rsidP="005D4BCE">
      <w:pPr>
        <w:jc w:val="both"/>
        <w:rPr>
          <w:sz w:val="28"/>
          <w:szCs w:val="28"/>
        </w:rPr>
      </w:pPr>
    </w:p>
    <w:p w:rsidR="00E35D7B" w:rsidRPr="00162AAA" w:rsidRDefault="00E35D7B" w:rsidP="00E35D7B">
      <w:pPr>
        <w:pStyle w:val="Paragrafoelenco"/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E35D7B" w:rsidRDefault="00E35D7B" w:rsidP="0016297B">
      <w:pPr>
        <w:jc w:val="both"/>
        <w:rPr>
          <w:sz w:val="28"/>
          <w:szCs w:val="28"/>
        </w:rPr>
      </w:pPr>
    </w:p>
    <w:p w:rsidR="00D81DB2" w:rsidRDefault="00D81DB2" w:rsidP="0016297B">
      <w:pPr>
        <w:jc w:val="both"/>
        <w:rPr>
          <w:sz w:val="28"/>
          <w:szCs w:val="28"/>
        </w:rPr>
      </w:pPr>
    </w:p>
    <w:p w:rsidR="00D81DB2" w:rsidRDefault="00D81DB2" w:rsidP="0016297B">
      <w:pPr>
        <w:jc w:val="both"/>
        <w:rPr>
          <w:sz w:val="28"/>
          <w:szCs w:val="28"/>
        </w:rPr>
      </w:pPr>
    </w:p>
    <w:p w:rsidR="00D81DB2" w:rsidRDefault="00D81DB2" w:rsidP="0016297B">
      <w:pPr>
        <w:jc w:val="both"/>
        <w:rPr>
          <w:sz w:val="28"/>
          <w:szCs w:val="28"/>
        </w:rPr>
      </w:pPr>
    </w:p>
    <w:p w:rsidR="00B0648B" w:rsidRDefault="00B0648B" w:rsidP="00CF58B3">
      <w:pPr>
        <w:jc w:val="both"/>
        <w:rPr>
          <w:sz w:val="28"/>
          <w:szCs w:val="28"/>
        </w:rPr>
      </w:pPr>
    </w:p>
    <w:sectPr w:rsidR="00B0648B" w:rsidSect="00D8501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7F" w:rsidRDefault="00C04C7F" w:rsidP="00D81DB2">
      <w:pPr>
        <w:spacing w:after="0" w:line="240" w:lineRule="auto"/>
      </w:pPr>
      <w:r>
        <w:separator/>
      </w:r>
    </w:p>
  </w:endnote>
  <w:endnote w:type="continuationSeparator" w:id="0">
    <w:p w:rsidR="00C04C7F" w:rsidRDefault="00C04C7F" w:rsidP="00D8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290"/>
      <w:docPartObj>
        <w:docPartGallery w:val="Page Numbers (Bottom of Page)"/>
        <w:docPartUnique/>
      </w:docPartObj>
    </w:sdtPr>
    <w:sdtEndPr/>
    <w:sdtContent>
      <w:p w:rsidR="00162AAA" w:rsidRDefault="00BD6311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AAA" w:rsidRDefault="00162A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7F" w:rsidRDefault="00C04C7F" w:rsidP="00D81DB2">
      <w:pPr>
        <w:spacing w:after="0" w:line="240" w:lineRule="auto"/>
      </w:pPr>
      <w:r>
        <w:separator/>
      </w:r>
    </w:p>
  </w:footnote>
  <w:footnote w:type="continuationSeparator" w:id="0">
    <w:p w:rsidR="00C04C7F" w:rsidRDefault="00C04C7F" w:rsidP="00D81DB2">
      <w:pPr>
        <w:spacing w:after="0" w:line="240" w:lineRule="auto"/>
      </w:pPr>
      <w:r>
        <w:continuationSeparator/>
      </w:r>
    </w:p>
  </w:footnote>
  <w:footnote w:id="1">
    <w:p w:rsidR="00374E68" w:rsidRDefault="00374E68">
      <w:pPr>
        <w:pStyle w:val="Testonotaapidipagina"/>
      </w:pPr>
      <w:r>
        <w:rPr>
          <w:rStyle w:val="Rimandonotaapidipagina"/>
        </w:rPr>
        <w:footnoteRef/>
      </w:r>
      <w:r>
        <w:t xml:space="preserve">  Paolo Pedullà (dirigente scolastico ) e Fiorella Farinelli (</w:t>
      </w:r>
      <w:proofErr w:type="spellStart"/>
      <w:r>
        <w:t>Scuolemigranti</w:t>
      </w:r>
      <w:proofErr w:type="spellEnd"/>
      <w:r>
        <w:t xml:space="preserve">) hanno coordinato la stesura del documento in base ai contributi ricevuti dai membri del  gruppo di lavoro : Roberto </w:t>
      </w:r>
      <w:proofErr w:type="spellStart"/>
      <w:r>
        <w:t>Gontero</w:t>
      </w:r>
      <w:proofErr w:type="spellEnd"/>
      <w:r>
        <w:t xml:space="preserve"> (Forum nazionale delle Associazioni dei genitori), Manuela D’Alessandro (Unicef ), Chiara </w:t>
      </w:r>
      <w:proofErr w:type="spellStart"/>
      <w:r>
        <w:t>Brescianini</w:t>
      </w:r>
      <w:proofErr w:type="spellEnd"/>
      <w:r>
        <w:t xml:space="preserve"> (dirigente scolastico Modena ), Stefano Pizzolla (Garante per l’infanzia e l’adolescenza ), Mariagrazi</w:t>
      </w:r>
      <w:r w:rsidR="0059762A">
        <w:t xml:space="preserve">a </w:t>
      </w:r>
      <w:proofErr w:type="spellStart"/>
      <w:r w:rsidR="0059762A">
        <w:t>Santagati</w:t>
      </w:r>
      <w:proofErr w:type="spellEnd"/>
      <w:r w:rsidR="0059762A">
        <w:t xml:space="preserve"> (ISMU Milano ), Adr</w:t>
      </w:r>
      <w:r w:rsidR="00393A8E">
        <w:t xml:space="preserve">iana </w:t>
      </w:r>
      <w:proofErr w:type="spellStart"/>
      <w:r w:rsidR="00393A8E">
        <w:t>Ciampa</w:t>
      </w:r>
      <w:proofErr w:type="spellEnd"/>
      <w:r>
        <w:t xml:space="preserve"> ( Ministero del Lavoro e della Solidarietà Sociale ), Michele Raggi ( dirigente scolastico Genova ), Roberta </w:t>
      </w:r>
      <w:proofErr w:type="spellStart"/>
      <w:r>
        <w:t>Ricucci</w:t>
      </w:r>
      <w:proofErr w:type="spellEnd"/>
      <w:r>
        <w:t xml:space="preserve"> (Fieri Torino ), Manuela De Marco ( Caritas italiana ), Roberto Bortone (UNAR 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B202E5"/>
    <w:multiLevelType w:val="hybridMultilevel"/>
    <w:tmpl w:val="7B00223C"/>
    <w:lvl w:ilvl="0" w:tplc="5A8AB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3BB1"/>
    <w:multiLevelType w:val="hybridMultilevel"/>
    <w:tmpl w:val="68889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3D46"/>
    <w:multiLevelType w:val="hybridMultilevel"/>
    <w:tmpl w:val="B9C440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1674F"/>
    <w:multiLevelType w:val="hybridMultilevel"/>
    <w:tmpl w:val="B24E0BA0"/>
    <w:lvl w:ilvl="0" w:tplc="8AA696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115B8"/>
    <w:multiLevelType w:val="hybridMultilevel"/>
    <w:tmpl w:val="EB2821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00BCD"/>
    <w:multiLevelType w:val="hybridMultilevel"/>
    <w:tmpl w:val="DEB457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F033A"/>
    <w:multiLevelType w:val="hybridMultilevel"/>
    <w:tmpl w:val="0F661F70"/>
    <w:lvl w:ilvl="0" w:tplc="7D00F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F39C60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E2F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90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06B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88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CDC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6F8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E94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5416B"/>
    <w:multiLevelType w:val="hybridMultilevel"/>
    <w:tmpl w:val="0DEC6CE8"/>
    <w:lvl w:ilvl="0" w:tplc="7F9847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1541C"/>
    <w:multiLevelType w:val="hybridMultilevel"/>
    <w:tmpl w:val="323C6E90"/>
    <w:lvl w:ilvl="0" w:tplc="45E25D2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94237"/>
    <w:multiLevelType w:val="hybridMultilevel"/>
    <w:tmpl w:val="523C630E"/>
    <w:lvl w:ilvl="0" w:tplc="C85CF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104EF"/>
    <w:multiLevelType w:val="hybridMultilevel"/>
    <w:tmpl w:val="DFD21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427"/>
    <w:multiLevelType w:val="hybridMultilevel"/>
    <w:tmpl w:val="8A06A2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429E3"/>
    <w:multiLevelType w:val="hybridMultilevel"/>
    <w:tmpl w:val="E4EE45A2"/>
    <w:lvl w:ilvl="0" w:tplc="3CDC499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3F"/>
    <w:rsid w:val="000324C1"/>
    <w:rsid w:val="00061CF5"/>
    <w:rsid w:val="000805A2"/>
    <w:rsid w:val="00083C97"/>
    <w:rsid w:val="000B27EF"/>
    <w:rsid w:val="000D59D4"/>
    <w:rsid w:val="000F5C0E"/>
    <w:rsid w:val="00117C33"/>
    <w:rsid w:val="00142FCB"/>
    <w:rsid w:val="00143650"/>
    <w:rsid w:val="00160626"/>
    <w:rsid w:val="0016297B"/>
    <w:rsid w:val="00162AAA"/>
    <w:rsid w:val="00164788"/>
    <w:rsid w:val="00175F5E"/>
    <w:rsid w:val="001848B5"/>
    <w:rsid w:val="0019733F"/>
    <w:rsid w:val="001B01E8"/>
    <w:rsid w:val="001C1D68"/>
    <w:rsid w:val="001C2983"/>
    <w:rsid w:val="001C58E4"/>
    <w:rsid w:val="001E67AB"/>
    <w:rsid w:val="001F4127"/>
    <w:rsid w:val="001F4EB5"/>
    <w:rsid w:val="00203E6A"/>
    <w:rsid w:val="00230FC2"/>
    <w:rsid w:val="00240FE7"/>
    <w:rsid w:val="00247D61"/>
    <w:rsid w:val="00265A34"/>
    <w:rsid w:val="002706B0"/>
    <w:rsid w:val="002A6FD9"/>
    <w:rsid w:val="002C34C5"/>
    <w:rsid w:val="002E4150"/>
    <w:rsid w:val="00301252"/>
    <w:rsid w:val="00313518"/>
    <w:rsid w:val="003146C7"/>
    <w:rsid w:val="00322B2C"/>
    <w:rsid w:val="0032386C"/>
    <w:rsid w:val="0033793E"/>
    <w:rsid w:val="00343890"/>
    <w:rsid w:val="003462BA"/>
    <w:rsid w:val="00346CE9"/>
    <w:rsid w:val="0035779B"/>
    <w:rsid w:val="003747D7"/>
    <w:rsid w:val="00374E68"/>
    <w:rsid w:val="003810E4"/>
    <w:rsid w:val="00393A8E"/>
    <w:rsid w:val="003C09C6"/>
    <w:rsid w:val="003C0EBD"/>
    <w:rsid w:val="003C5EDA"/>
    <w:rsid w:val="003D414E"/>
    <w:rsid w:val="003F10C4"/>
    <w:rsid w:val="00403587"/>
    <w:rsid w:val="0044230B"/>
    <w:rsid w:val="00461F35"/>
    <w:rsid w:val="004B1092"/>
    <w:rsid w:val="0052306B"/>
    <w:rsid w:val="005440BC"/>
    <w:rsid w:val="00547E19"/>
    <w:rsid w:val="00553F6F"/>
    <w:rsid w:val="00573747"/>
    <w:rsid w:val="0057519B"/>
    <w:rsid w:val="00590CC1"/>
    <w:rsid w:val="0059371C"/>
    <w:rsid w:val="0059762A"/>
    <w:rsid w:val="005A007E"/>
    <w:rsid w:val="005A1209"/>
    <w:rsid w:val="005B6707"/>
    <w:rsid w:val="005C586C"/>
    <w:rsid w:val="005D13F0"/>
    <w:rsid w:val="005D4BCE"/>
    <w:rsid w:val="006150C0"/>
    <w:rsid w:val="00636B47"/>
    <w:rsid w:val="00651D33"/>
    <w:rsid w:val="00662DD9"/>
    <w:rsid w:val="00664F2F"/>
    <w:rsid w:val="00677721"/>
    <w:rsid w:val="00685982"/>
    <w:rsid w:val="00696E15"/>
    <w:rsid w:val="006D2585"/>
    <w:rsid w:val="006E058E"/>
    <w:rsid w:val="00702A20"/>
    <w:rsid w:val="00724466"/>
    <w:rsid w:val="00754D1E"/>
    <w:rsid w:val="00785CE0"/>
    <w:rsid w:val="007957FA"/>
    <w:rsid w:val="00802F20"/>
    <w:rsid w:val="008357EB"/>
    <w:rsid w:val="00837FC8"/>
    <w:rsid w:val="00867EF6"/>
    <w:rsid w:val="00881484"/>
    <w:rsid w:val="0088483C"/>
    <w:rsid w:val="008C4253"/>
    <w:rsid w:val="008D4D4F"/>
    <w:rsid w:val="008E64C7"/>
    <w:rsid w:val="008E7EDD"/>
    <w:rsid w:val="008F1D25"/>
    <w:rsid w:val="009253EB"/>
    <w:rsid w:val="00934A07"/>
    <w:rsid w:val="00944655"/>
    <w:rsid w:val="00946A9E"/>
    <w:rsid w:val="00985550"/>
    <w:rsid w:val="00997084"/>
    <w:rsid w:val="009A2DBB"/>
    <w:rsid w:val="009D7A7A"/>
    <w:rsid w:val="009F57A7"/>
    <w:rsid w:val="00A4628F"/>
    <w:rsid w:val="00A518AA"/>
    <w:rsid w:val="00A879C2"/>
    <w:rsid w:val="00A9721E"/>
    <w:rsid w:val="00AB7FD2"/>
    <w:rsid w:val="00AC0126"/>
    <w:rsid w:val="00AF460F"/>
    <w:rsid w:val="00B0648B"/>
    <w:rsid w:val="00B20910"/>
    <w:rsid w:val="00B22A71"/>
    <w:rsid w:val="00B87304"/>
    <w:rsid w:val="00BC26C2"/>
    <w:rsid w:val="00BD6311"/>
    <w:rsid w:val="00BE7B1B"/>
    <w:rsid w:val="00C04C7F"/>
    <w:rsid w:val="00C41783"/>
    <w:rsid w:val="00C733EE"/>
    <w:rsid w:val="00C878E2"/>
    <w:rsid w:val="00CD183D"/>
    <w:rsid w:val="00CE24EC"/>
    <w:rsid w:val="00CE2C2C"/>
    <w:rsid w:val="00CF58B3"/>
    <w:rsid w:val="00D13509"/>
    <w:rsid w:val="00D53493"/>
    <w:rsid w:val="00D54B93"/>
    <w:rsid w:val="00D81DB2"/>
    <w:rsid w:val="00D84227"/>
    <w:rsid w:val="00D8501B"/>
    <w:rsid w:val="00DA4988"/>
    <w:rsid w:val="00DE39F0"/>
    <w:rsid w:val="00DE53E2"/>
    <w:rsid w:val="00E35D7B"/>
    <w:rsid w:val="00E672DA"/>
    <w:rsid w:val="00E927AF"/>
    <w:rsid w:val="00E92D8B"/>
    <w:rsid w:val="00EC299F"/>
    <w:rsid w:val="00ED1483"/>
    <w:rsid w:val="00ED40B5"/>
    <w:rsid w:val="00ED5C50"/>
    <w:rsid w:val="00EE4CA7"/>
    <w:rsid w:val="00EF3228"/>
    <w:rsid w:val="00F0208E"/>
    <w:rsid w:val="00F042CA"/>
    <w:rsid w:val="00F33159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47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B1B"/>
    <w:pPr>
      <w:ind w:left="720"/>
      <w:contextualSpacing/>
    </w:pPr>
  </w:style>
  <w:style w:type="paragraph" w:styleId="Nessunaspaziatura">
    <w:name w:val="No Spacing"/>
    <w:uiPriority w:val="1"/>
    <w:qFormat/>
    <w:rsid w:val="00C41783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7957FA"/>
    <w:rPr>
      <w:i/>
      <w:iCs/>
    </w:rPr>
  </w:style>
  <w:style w:type="character" w:styleId="Collegamentoipertestuale">
    <w:name w:val="Hyperlink"/>
    <w:rsid w:val="00C878E2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478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1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13F0"/>
  </w:style>
  <w:style w:type="paragraph" w:styleId="Pidipagina">
    <w:name w:val="footer"/>
    <w:basedOn w:val="Normale"/>
    <w:link w:val="PidipaginaCarattere"/>
    <w:uiPriority w:val="99"/>
    <w:unhideWhenUsed/>
    <w:rsid w:val="005D1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3F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5D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5D7B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5D7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7E1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47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B1B"/>
    <w:pPr>
      <w:ind w:left="720"/>
      <w:contextualSpacing/>
    </w:pPr>
  </w:style>
  <w:style w:type="paragraph" w:styleId="Nessunaspaziatura">
    <w:name w:val="No Spacing"/>
    <w:uiPriority w:val="1"/>
    <w:qFormat/>
    <w:rsid w:val="00C41783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7957FA"/>
    <w:rPr>
      <w:i/>
      <w:iCs/>
    </w:rPr>
  </w:style>
  <w:style w:type="character" w:styleId="Collegamentoipertestuale">
    <w:name w:val="Hyperlink"/>
    <w:rsid w:val="00C878E2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478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1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13F0"/>
  </w:style>
  <w:style w:type="paragraph" w:styleId="Pidipagina">
    <w:name w:val="footer"/>
    <w:basedOn w:val="Normale"/>
    <w:link w:val="PidipaginaCarattere"/>
    <w:uiPriority w:val="99"/>
    <w:unhideWhenUsed/>
    <w:rsid w:val="005D1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3F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5D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5D7B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5D7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7E1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3BC6-78B8-48A8-8682-683EB310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Administrator</cp:lastModifiedBy>
  <cp:revision>2</cp:revision>
  <dcterms:created xsi:type="dcterms:W3CDTF">2015-06-26T06:39:00Z</dcterms:created>
  <dcterms:modified xsi:type="dcterms:W3CDTF">2015-06-26T06:39:00Z</dcterms:modified>
</cp:coreProperties>
</file>